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20" w:rsidRPr="005B4F76" w:rsidRDefault="005B4F76" w:rsidP="005B4F76">
      <w:pPr>
        <w:ind w:left="720" w:firstLine="720"/>
        <w:rPr>
          <w:b/>
          <w:sz w:val="28"/>
          <w:szCs w:val="28"/>
        </w:rPr>
      </w:pPr>
      <w:r w:rsidRPr="005B4F76">
        <w:rPr>
          <w:b/>
          <w:sz w:val="28"/>
          <w:szCs w:val="28"/>
        </w:rPr>
        <w:t>FIFTY OVER CRICKET FROM 1985-86</w:t>
      </w:r>
    </w:p>
    <w:tbl>
      <w:tblPr>
        <w:tblW w:w="8025" w:type="dxa"/>
        <w:tblInd w:w="108" w:type="dxa"/>
        <w:tblLook w:val="04A0"/>
      </w:tblPr>
      <w:tblGrid>
        <w:gridCol w:w="763"/>
        <w:gridCol w:w="676"/>
        <w:gridCol w:w="796"/>
        <w:gridCol w:w="696"/>
        <w:gridCol w:w="676"/>
        <w:gridCol w:w="222"/>
        <w:gridCol w:w="766"/>
        <w:gridCol w:w="766"/>
        <w:gridCol w:w="876"/>
        <w:gridCol w:w="256"/>
        <w:gridCol w:w="816"/>
        <w:gridCol w:w="716"/>
      </w:tblGrid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NZ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200+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100-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Inns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NZ"/>
              </w:rPr>
              <w:t>Cent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200%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100%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Overs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Runs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R/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NZ"/>
              </w:rPr>
              <w:t>O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17/18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46.77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3.23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2669.1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11688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4.38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16/17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22.58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11.29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2399.1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9778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4.08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15/16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36.36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9.09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2749.4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11215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4.08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14/15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33.67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10.20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4013.5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16527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4.12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13/14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32.93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8.54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3910.1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15195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3.89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12/13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29.11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15.19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3230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12404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3.84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11/12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32.50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3.75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3569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13979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3.92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10/11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32.53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2.41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3681.2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14929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4.06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09/10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22.86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2.86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3121.2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11283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3.61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08/09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35.71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7.14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3060.4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12186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3.98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07/08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38.24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5.88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2986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12244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4.10</w:t>
            </w: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06/07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37.31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8.96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05/06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26.76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4.23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04/05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32.81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9.38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03/04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23.68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1.32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02/03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39.06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6.25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01/02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32.50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7.50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00/01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56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23.21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8.93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99/00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38.10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7.94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98/99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23.44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6.25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97/98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33.33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8.97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96/97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16.67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12.12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95/96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30.77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3.85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94/95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26.67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4.44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93/94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35.00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7.50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92/93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30.77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11.54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91/92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36.25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8.75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90/91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33.75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5.00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89/90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70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32.86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2.86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88/89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31.67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0.00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87/88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27.78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5.56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86/87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27.50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5.00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  <w:tr w:rsidR="005B4F76" w:rsidRPr="005B4F76" w:rsidTr="005B4F76">
        <w:trPr>
          <w:trHeight w:val="28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85/86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26.67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  <w:r w:rsidRPr="005B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6.67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F76" w:rsidRPr="005B4F76" w:rsidRDefault="005B4F76" w:rsidP="005B4F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</w:tbl>
    <w:p w:rsidR="005B4F76" w:rsidRDefault="005B4F76"/>
    <w:p w:rsidR="005B4F76" w:rsidRDefault="005B4F76" w:rsidP="005B4F76">
      <w:pPr>
        <w:spacing w:after="0"/>
      </w:pPr>
      <w:r>
        <w:t xml:space="preserve">Team scores over 200 and </w:t>
      </w:r>
      <w:proofErr w:type="gramStart"/>
      <w:r>
        <w:t>under</w:t>
      </w:r>
      <w:proofErr w:type="gramEnd"/>
      <w:r>
        <w:t xml:space="preserve"> 100 are considered against the number of innings in a season</w:t>
      </w:r>
    </w:p>
    <w:p w:rsidR="005B4F76" w:rsidRDefault="005B4F76" w:rsidP="005B4F76">
      <w:pPr>
        <w:spacing w:after="0"/>
      </w:pPr>
      <w:proofErr w:type="gramStart"/>
      <w:r>
        <w:t>and</w:t>
      </w:r>
      <w:proofErr w:type="gramEnd"/>
      <w:r>
        <w:t xml:space="preserve"> given a percentage. Clearly the percentage figure varies considerably but it should be </w:t>
      </w:r>
    </w:p>
    <w:p w:rsidR="005B4F76" w:rsidRDefault="005B4F76" w:rsidP="005B4F76">
      <w:pPr>
        <w:spacing w:after="0"/>
      </w:pPr>
      <w:proofErr w:type="gramStart"/>
      <w:r>
        <w:t>noted</w:t>
      </w:r>
      <w:proofErr w:type="gramEnd"/>
      <w:r>
        <w:t xml:space="preserve"> that the 2017/18 season was very successful with high and low figures in the two categories.</w:t>
      </w:r>
    </w:p>
    <w:p w:rsidR="005B4F76" w:rsidRDefault="005B4F76" w:rsidP="005B4F76">
      <w:pPr>
        <w:spacing w:after="0"/>
      </w:pPr>
      <w:r>
        <w:t xml:space="preserve">   Runs per over was only started in 2007/08 but it has increased over the </w:t>
      </w:r>
      <w:r w:rsidR="00CB3174">
        <w:t xml:space="preserve">11 years. </w:t>
      </w:r>
    </w:p>
    <w:p w:rsidR="005B4F76" w:rsidRDefault="005B4F76"/>
    <w:p w:rsidR="00CB3174" w:rsidRDefault="00CB3174"/>
    <w:p w:rsidR="00CB3174" w:rsidRDefault="00CB3174"/>
    <w:p w:rsidR="00CB3174" w:rsidRDefault="00CB3174"/>
    <w:p w:rsidR="00CB3174" w:rsidRDefault="00CB3174">
      <w:r w:rsidRPr="00CB3174">
        <w:lastRenderedPageBreak/>
        <w:drawing>
          <wp:inline distT="0" distB="0" distL="0" distR="0">
            <wp:extent cx="6464300" cy="2628900"/>
            <wp:effectExtent l="19050" t="0" r="127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B3174" w:rsidRDefault="00CB3174"/>
    <w:p w:rsidR="00CB3174" w:rsidRDefault="00CB3174">
      <w:r w:rsidRPr="00CB3174">
        <w:drawing>
          <wp:inline distT="0" distB="0" distL="0" distR="0">
            <wp:extent cx="6451600" cy="2451100"/>
            <wp:effectExtent l="19050" t="0" r="2540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B3174" w:rsidRDefault="00CB3174"/>
    <w:p w:rsidR="00CB3174" w:rsidRDefault="00CB3174">
      <w:r w:rsidRPr="00CB3174">
        <w:drawing>
          <wp:inline distT="0" distB="0" distL="0" distR="0">
            <wp:extent cx="6451600" cy="2279650"/>
            <wp:effectExtent l="19050" t="0" r="2540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B3174" w:rsidSect="00B2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F76"/>
    <w:rsid w:val="005B4F76"/>
    <w:rsid w:val="00B24A20"/>
    <w:rsid w:val="00CB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club%20review%20stats\one%20day%20club%2017-18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club%20review%20stats\one%20day%20club%2017-18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club%20review%20stats\one%20day%20club%2017-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/>
              <a:t>Scores</a:t>
            </a:r>
            <a:r>
              <a:rPr lang="en-NZ" sz="1400" baseline="0"/>
              <a:t> over 200 as % of innings</a:t>
            </a:r>
            <a:endParaRPr lang="en-NZ" sz="1400"/>
          </a:p>
        </c:rich>
      </c:tx>
    </c:title>
    <c:plotArea>
      <c:layout>
        <c:manualLayout>
          <c:layoutTarget val="inner"/>
          <c:xMode val="edge"/>
          <c:yMode val="edge"/>
          <c:x val="6.8742655888587106E-2"/>
          <c:y val="0.18933584388907912"/>
          <c:w val="0.91296641655719346"/>
          <c:h val="0.70756400015215493"/>
        </c:manualLayout>
      </c:layout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800" baseline="0"/>
                </a:pPr>
                <a:endParaRPr lang="en-US"/>
              </a:p>
            </c:txPr>
            <c:showVal val="1"/>
          </c:dLbls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Sheet1!$R$54:$R$86</c:f>
              <c:strCache>
                <c:ptCount val="33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  <c:pt idx="28">
                  <c:v>13/14</c:v>
                </c:pt>
                <c:pt idx="29">
                  <c:v>14/15</c:v>
                </c:pt>
                <c:pt idx="30">
                  <c:v>15/16</c:v>
                </c:pt>
                <c:pt idx="31">
                  <c:v>16/17</c:v>
                </c:pt>
                <c:pt idx="32">
                  <c:v>17/18</c:v>
                </c:pt>
              </c:strCache>
            </c:strRef>
          </c:cat>
          <c:val>
            <c:numRef>
              <c:f>Sheet1!$S$54:$S$86</c:f>
              <c:numCache>
                <c:formatCode>0.00</c:formatCode>
                <c:ptCount val="33"/>
                <c:pt idx="0">
                  <c:v>26.67</c:v>
                </c:pt>
                <c:pt idx="1">
                  <c:v>27.5</c:v>
                </c:pt>
                <c:pt idx="2">
                  <c:v>27.777777777777779</c:v>
                </c:pt>
                <c:pt idx="3">
                  <c:v>31.666666666666664</c:v>
                </c:pt>
                <c:pt idx="4">
                  <c:v>32.857142857142847</c:v>
                </c:pt>
                <c:pt idx="5">
                  <c:v>33.75</c:v>
                </c:pt>
                <c:pt idx="6">
                  <c:v>36.25</c:v>
                </c:pt>
                <c:pt idx="7">
                  <c:v>30.76923076923077</c:v>
                </c:pt>
                <c:pt idx="8">
                  <c:v>35</c:v>
                </c:pt>
                <c:pt idx="9">
                  <c:v>26.666666666666668</c:v>
                </c:pt>
                <c:pt idx="10">
                  <c:v>30.76923076923077</c:v>
                </c:pt>
                <c:pt idx="11">
                  <c:v>16.666666666666664</c:v>
                </c:pt>
                <c:pt idx="12">
                  <c:v>33.333333333333329</c:v>
                </c:pt>
                <c:pt idx="13">
                  <c:v>23.4375</c:v>
                </c:pt>
                <c:pt idx="14">
                  <c:v>38.095238095238102</c:v>
                </c:pt>
                <c:pt idx="15">
                  <c:v>23.214285714285719</c:v>
                </c:pt>
                <c:pt idx="16">
                  <c:v>32.5</c:v>
                </c:pt>
                <c:pt idx="17">
                  <c:v>39.062500000000007</c:v>
                </c:pt>
                <c:pt idx="18">
                  <c:v>23.684210526315788</c:v>
                </c:pt>
                <c:pt idx="19">
                  <c:v>32.809999999999995</c:v>
                </c:pt>
                <c:pt idx="20">
                  <c:v>26.759999999999998</c:v>
                </c:pt>
                <c:pt idx="21">
                  <c:v>37.313432835820905</c:v>
                </c:pt>
                <c:pt idx="22">
                  <c:v>38.24</c:v>
                </c:pt>
                <c:pt idx="23">
                  <c:v>35.71</c:v>
                </c:pt>
                <c:pt idx="24">
                  <c:v>22.86</c:v>
                </c:pt>
                <c:pt idx="25">
                  <c:v>32.53</c:v>
                </c:pt>
                <c:pt idx="26">
                  <c:v>32.5</c:v>
                </c:pt>
                <c:pt idx="27">
                  <c:v>29.110000000000003</c:v>
                </c:pt>
                <c:pt idx="28">
                  <c:v>32.93</c:v>
                </c:pt>
                <c:pt idx="29" formatCode="General">
                  <c:v>33.67</c:v>
                </c:pt>
                <c:pt idx="30" formatCode="General">
                  <c:v>36.36</c:v>
                </c:pt>
                <c:pt idx="31" formatCode="General">
                  <c:v>22.58</c:v>
                </c:pt>
                <c:pt idx="32" formatCode="General">
                  <c:v>46.77</c:v>
                </c:pt>
              </c:numCache>
            </c:numRef>
          </c:val>
        </c:ser>
        <c:marker val="1"/>
        <c:axId val="112411008"/>
        <c:axId val="112412544"/>
      </c:lineChart>
      <c:catAx>
        <c:axId val="112411008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Calibri" pitchFamily="34" charset="0"/>
              </a:defRPr>
            </a:pPr>
            <a:endParaRPr lang="en-US"/>
          </a:p>
        </c:txPr>
        <c:crossAx val="112412544"/>
        <c:crosses val="autoZero"/>
        <c:auto val="1"/>
        <c:lblAlgn val="ctr"/>
        <c:lblOffset val="100"/>
        <c:tickLblSkip val="2"/>
        <c:tickMarkSkip val="2"/>
      </c:catAx>
      <c:valAx>
        <c:axId val="112412544"/>
        <c:scaling>
          <c:orientation val="minMax"/>
          <c:min val="10"/>
        </c:scaling>
        <c:axPos val="l"/>
        <c:majorGridlines/>
        <c:numFmt formatCode="0.00" sourceLinked="1"/>
        <c:tickLblPos val="nextTo"/>
        <c:crossAx val="112411008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Scores</a:t>
            </a:r>
            <a:r>
              <a:rPr lang="en-NZ" sz="1400" baseline="0"/>
              <a:t> under 100 as % of innings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Val val="1"/>
          </c:dLbls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Sheet1!$V$54:$V$86</c:f>
              <c:strCache>
                <c:ptCount val="33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  <c:pt idx="28">
                  <c:v>13/14</c:v>
                </c:pt>
                <c:pt idx="29">
                  <c:v>14/15</c:v>
                </c:pt>
                <c:pt idx="30">
                  <c:v>15/16</c:v>
                </c:pt>
                <c:pt idx="31">
                  <c:v>16/17</c:v>
                </c:pt>
                <c:pt idx="32">
                  <c:v>17/18</c:v>
                </c:pt>
              </c:strCache>
            </c:strRef>
          </c:cat>
          <c:val>
            <c:numRef>
              <c:f>Sheet1!$W$54:$W$86</c:f>
              <c:numCache>
                <c:formatCode>0.00</c:formatCode>
                <c:ptCount val="33"/>
                <c:pt idx="0" formatCode="General">
                  <c:v>6.67</c:v>
                </c:pt>
                <c:pt idx="1">
                  <c:v>5</c:v>
                </c:pt>
                <c:pt idx="2">
                  <c:v>5.5555555555555536</c:v>
                </c:pt>
                <c:pt idx="3">
                  <c:v>0</c:v>
                </c:pt>
                <c:pt idx="4">
                  <c:v>2.8571428571428572</c:v>
                </c:pt>
                <c:pt idx="5">
                  <c:v>5</c:v>
                </c:pt>
                <c:pt idx="6">
                  <c:v>8.75</c:v>
                </c:pt>
                <c:pt idx="7">
                  <c:v>11.538461538461538</c:v>
                </c:pt>
                <c:pt idx="8">
                  <c:v>7.5</c:v>
                </c:pt>
                <c:pt idx="9">
                  <c:v>4.4444444444444455</c:v>
                </c:pt>
                <c:pt idx="10">
                  <c:v>3.8461538461538463</c:v>
                </c:pt>
                <c:pt idx="11">
                  <c:v>12.121212121212118</c:v>
                </c:pt>
                <c:pt idx="12">
                  <c:v>8.9743589743589727</c:v>
                </c:pt>
                <c:pt idx="13">
                  <c:v>6.25</c:v>
                </c:pt>
                <c:pt idx="14">
                  <c:v>7.9365079365079358</c:v>
                </c:pt>
                <c:pt idx="15">
                  <c:v>8.9285714285714253</c:v>
                </c:pt>
                <c:pt idx="16">
                  <c:v>7.5</c:v>
                </c:pt>
                <c:pt idx="17">
                  <c:v>6.25</c:v>
                </c:pt>
                <c:pt idx="18">
                  <c:v>1.3157894736842104</c:v>
                </c:pt>
                <c:pt idx="19">
                  <c:v>9.3800000000000008</c:v>
                </c:pt>
                <c:pt idx="20">
                  <c:v>4.2300000000000004</c:v>
                </c:pt>
                <c:pt idx="21">
                  <c:v>8.9552238805970141</c:v>
                </c:pt>
                <c:pt idx="22">
                  <c:v>5.88</c:v>
                </c:pt>
                <c:pt idx="23">
                  <c:v>7.14</c:v>
                </c:pt>
                <c:pt idx="24" formatCode="General">
                  <c:v>2.86</c:v>
                </c:pt>
                <c:pt idx="25">
                  <c:v>2.4099999999999997</c:v>
                </c:pt>
                <c:pt idx="26">
                  <c:v>3.75</c:v>
                </c:pt>
                <c:pt idx="27">
                  <c:v>15.19</c:v>
                </c:pt>
                <c:pt idx="28">
                  <c:v>8.5400000000000009</c:v>
                </c:pt>
                <c:pt idx="29">
                  <c:v>10.200000000000001</c:v>
                </c:pt>
                <c:pt idx="30">
                  <c:v>9.09</c:v>
                </c:pt>
                <c:pt idx="31">
                  <c:v>11.29</c:v>
                </c:pt>
                <c:pt idx="32">
                  <c:v>3.23</c:v>
                </c:pt>
              </c:numCache>
            </c:numRef>
          </c:val>
        </c:ser>
        <c:marker val="1"/>
        <c:axId val="112421120"/>
        <c:axId val="112451584"/>
      </c:lineChart>
      <c:catAx>
        <c:axId val="112421120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 baseline="0">
                <a:latin typeface="Calibri" pitchFamily="34" charset="0"/>
              </a:defRPr>
            </a:pPr>
            <a:endParaRPr lang="en-US"/>
          </a:p>
        </c:txPr>
        <c:crossAx val="112451584"/>
        <c:crosses val="autoZero"/>
        <c:auto val="1"/>
        <c:lblAlgn val="ctr"/>
        <c:lblOffset val="100"/>
        <c:tickLblSkip val="2"/>
        <c:tickMarkSkip val="2"/>
      </c:catAx>
      <c:valAx>
        <c:axId val="112451584"/>
        <c:scaling>
          <c:orientation val="minMax"/>
        </c:scaling>
        <c:axPos val="l"/>
        <c:majorGridlines/>
        <c:numFmt formatCode="General" sourceLinked="1"/>
        <c:tickLblPos val="nextTo"/>
        <c:crossAx val="112421120"/>
        <c:crosses val="autoZero"/>
        <c:crossBetween val="between"/>
      </c:valAx>
      <c:spPr>
        <a:noFill/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Runs</a:t>
            </a:r>
            <a:r>
              <a:rPr lang="en-NZ" sz="1400" baseline="0"/>
              <a:t> per over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showVal val="1"/>
          </c:dLbls>
          <c:trendline>
            <c:spPr>
              <a:ln w="12700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Sheet1!$Y$54:$Y$64</c:f>
              <c:strCache>
                <c:ptCount val="11"/>
                <c:pt idx="0">
                  <c:v>07/08</c:v>
                </c:pt>
                <c:pt idx="1">
                  <c:v>08/09</c:v>
                </c:pt>
                <c:pt idx="2">
                  <c:v>09/10</c:v>
                </c:pt>
                <c:pt idx="3">
                  <c:v>10/11</c:v>
                </c:pt>
                <c:pt idx="4">
                  <c:v>11/12</c:v>
                </c:pt>
                <c:pt idx="5">
                  <c:v>12/13</c:v>
                </c:pt>
                <c:pt idx="6">
                  <c:v>13/14</c:v>
                </c:pt>
                <c:pt idx="7">
                  <c:v>14/15</c:v>
                </c:pt>
                <c:pt idx="8">
                  <c:v>15/16</c:v>
                </c:pt>
                <c:pt idx="9">
                  <c:v>16/17</c:v>
                </c:pt>
                <c:pt idx="10">
                  <c:v>17/18</c:v>
                </c:pt>
              </c:strCache>
            </c:strRef>
          </c:cat>
          <c:val>
            <c:numRef>
              <c:f>Sheet1!$Z$54:$Z$64</c:f>
              <c:numCache>
                <c:formatCode>0.00</c:formatCode>
                <c:ptCount val="11"/>
                <c:pt idx="0">
                  <c:v>4.1004688546550563</c:v>
                </c:pt>
                <c:pt idx="1">
                  <c:v>3.9818324402038945</c:v>
                </c:pt>
                <c:pt idx="2">
                  <c:v>3.6149557862360631</c:v>
                </c:pt>
                <c:pt idx="3">
                  <c:v>4.0554710420515052</c:v>
                </c:pt>
                <c:pt idx="4">
                  <c:v>3.9167834127206498</c:v>
                </c:pt>
                <c:pt idx="5">
                  <c:v>3.8402476780185757</c:v>
                </c:pt>
                <c:pt idx="6">
                  <c:v>3.8860898698243007</c:v>
                </c:pt>
                <c:pt idx="7">
                  <c:v>4.1178522486607685</c:v>
                </c:pt>
                <c:pt idx="8">
                  <c:v>4.0790717974830892</c:v>
                </c:pt>
                <c:pt idx="9">
                  <c:v>4.08</c:v>
                </c:pt>
                <c:pt idx="10">
                  <c:v>4.38</c:v>
                </c:pt>
              </c:numCache>
            </c:numRef>
          </c:val>
        </c:ser>
        <c:marker val="1"/>
        <c:axId val="116081024"/>
        <c:axId val="116082560"/>
      </c:lineChart>
      <c:catAx>
        <c:axId val="116081024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16082560"/>
        <c:crosses val="autoZero"/>
        <c:auto val="1"/>
        <c:lblAlgn val="ctr"/>
        <c:lblOffset val="100"/>
      </c:catAx>
      <c:valAx>
        <c:axId val="116082560"/>
        <c:scaling>
          <c:orientation val="minMax"/>
          <c:min val="3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 baseline="0">
                <a:latin typeface="Calibri" pitchFamily="34" charset="0"/>
              </a:defRPr>
            </a:pPr>
            <a:endParaRPr lang="en-US"/>
          </a:p>
        </c:txPr>
        <c:crossAx val="11608102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2018-04-11T02:03:00Z</dcterms:created>
  <dcterms:modified xsi:type="dcterms:W3CDTF">2018-04-11T02:19:00Z</dcterms:modified>
</cp:coreProperties>
</file>