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09B987A2" w:rsidR="00E40332" w:rsidRPr="00EB7DC1" w:rsidRDefault="00425F58" w:rsidP="008541B1">
      <w:pPr>
        <w:pStyle w:val="LEUBodyText"/>
        <w:jc w:val="both"/>
        <w:rPr>
          <w:color w:val="000000" w:themeColor="text1"/>
        </w:rPr>
      </w:pPr>
      <w:r>
        <w:rPr>
          <w:color w:val="000000" w:themeColor="text1"/>
        </w:rPr>
        <w:t>October</w:t>
      </w:r>
      <w:r w:rsidR="002575A2">
        <w:rPr>
          <w:color w:val="000000" w:themeColor="text1"/>
        </w:rPr>
        <w:t xml:space="preserve"> </w:t>
      </w:r>
      <w:r w:rsidR="0097052B">
        <w:rPr>
          <w:color w:val="000000" w:themeColor="text1"/>
        </w:rPr>
        <w:t>2021</w:t>
      </w:r>
      <w:r w:rsidR="00310C4D">
        <w:rPr>
          <w:color w:val="000000" w:themeColor="text1"/>
        </w:rPr>
        <w:t>-August</w:t>
      </w:r>
      <w:r w:rsidR="009557EC">
        <w:rPr>
          <w:color w:val="000000" w:themeColor="text1"/>
        </w:rPr>
        <w:t xml:space="preserve"> 2022</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707C592E"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r w:rsidR="001D21FF">
        <w:rPr>
          <w:color w:val="000000" w:themeColor="text1"/>
        </w:rPr>
        <w:t>6-1</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715EE87A"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2575A2">
        <w:rPr>
          <w:color w:val="000000" w:themeColor="text1"/>
          <w:sz w:val="22"/>
          <w:szCs w:val="22"/>
        </w:rPr>
        <w:t>6-1 is written in Python 3.9</w:t>
      </w:r>
      <w:r w:rsidR="009E5906" w:rsidRPr="009C7A7E">
        <w:rPr>
          <w:color w:val="000000" w:themeColor="text1"/>
          <w:sz w:val="22"/>
          <w:szCs w:val="22"/>
        </w:rPr>
        <w:t xml:space="preserve"> </w:t>
      </w:r>
      <w:r w:rsidR="00E006E5" w:rsidRPr="009C7A7E">
        <w:rPr>
          <w:color w:val="000000" w:themeColor="text1"/>
          <w:sz w:val="22"/>
          <w:szCs w:val="22"/>
        </w:rPr>
        <w:t xml:space="preserve">and was developed in the </w:t>
      </w:r>
      <w:hyperlink r:id="rId9" w:history="1">
        <w:r w:rsidR="00E006E5" w:rsidRPr="00A6368C">
          <w:rPr>
            <w:rStyle w:val="Hyperlink"/>
            <w:sz w:val="22"/>
            <w:szCs w:val="22"/>
          </w:rPr>
          <w:t>Spyder IDE</w:t>
        </w:r>
      </w:hyperlink>
      <w:r w:rsidR="00E006E5" w:rsidRPr="009C7A7E">
        <w:rPr>
          <w:color w:val="000000" w:themeColor="text1"/>
          <w:sz w:val="22"/>
          <w:szCs w:val="22"/>
        </w:rPr>
        <w:t xml:space="preserve"> </w:t>
      </w:r>
      <w:r w:rsidR="009E5906"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7EC4F66D" w14:textId="77777777" w:rsidR="00443775" w:rsidRDefault="00443775" w:rsidP="008541B1">
      <w:pPr>
        <w:pStyle w:val="LEUBodyText"/>
        <w:jc w:val="both"/>
        <w:rPr>
          <w:color w:val="000000" w:themeColor="text1"/>
          <w:sz w:val="22"/>
          <w:szCs w:val="22"/>
        </w:rPr>
      </w:pPr>
    </w:p>
    <w:p w14:paraId="652EB5BF" w14:textId="29AF5959"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w:t>
      </w:r>
      <w:r w:rsidR="001D21FF">
        <w:rPr>
          <w:color w:val="000000" w:themeColor="text1"/>
          <w:sz w:val="22"/>
          <w:szCs w:val="22"/>
        </w:rPr>
        <w:t>6-1</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w:t>
      </w:r>
      <w:r w:rsidR="002575A2">
        <w:rPr>
          <w:color w:val="000000" w:themeColor="text1"/>
          <w:sz w:val="22"/>
          <w:szCs w:val="22"/>
        </w:rPr>
        <w:t>6-1</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10"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1"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2"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276E6B6"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w:t>
      </w:r>
      <w:r w:rsidR="002575A2">
        <w:rPr>
          <w:color w:val="000000" w:themeColor="text1"/>
        </w:rPr>
        <w:t>6-1</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394E1B56" w:rsidR="00ED266A" w:rsidRDefault="00326C01" w:rsidP="00DC6C11">
      <w:r>
        <w:t xml:space="preserve">Download the “StrEmbed_6_1.zip” </w:t>
      </w:r>
      <w:r w:rsidR="00DA13D3">
        <w:t xml:space="preserve">and “partfindv1.zip” files </w:t>
      </w:r>
      <w:r>
        <w:t xml:space="preserve">from the </w:t>
      </w:r>
      <w:hyperlink r:id="rId13"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BE77FD">
        <w:t xml:space="preserve">. </w:t>
      </w:r>
      <w:r w:rsidR="00DA13D3">
        <w:t>Unpack both, and move the “partfindv1” folder into the “StrEmbed” folder; the latter</w:t>
      </w:r>
      <w:r w:rsidR="00BE77FD">
        <w:t xml:space="preserve"> contains an executable (“StrEmbed_6_1.exe”)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4"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22DDD918" w:rsidR="007833A0" w:rsidRDefault="007833A0" w:rsidP="007833A0">
      <w:pPr>
        <w:pStyle w:val="LEUHeadingTwo"/>
        <w:spacing w:after="120"/>
        <w:jc w:val="both"/>
        <w:rPr>
          <w:color w:val="000000" w:themeColor="text1"/>
        </w:rPr>
      </w:pPr>
      <w:r>
        <w:rPr>
          <w:color w:val="000000" w:themeColor="text1"/>
        </w:rPr>
        <w:t>Running StrEmbed-6-1 as script</w:t>
      </w:r>
    </w:p>
    <w:p w14:paraId="0DBA68E4" w14:textId="5003FD03" w:rsidR="007833A0" w:rsidRDefault="007833A0" w:rsidP="00AB226F">
      <w:pPr>
        <w:spacing w:line="240" w:lineRule="auto"/>
      </w:pPr>
      <w:r>
        <w:t xml:space="preserve">Download or clone the repository from Github </w:t>
      </w:r>
      <w:hyperlink r:id="rId15" w:history="1">
        <w:r w:rsidRPr="003223E4">
          <w:rPr>
            <w:rStyle w:val="Hyperlink"/>
          </w:rPr>
          <w:t>here</w:t>
        </w:r>
      </w:hyperlink>
      <w:r>
        <w:t>, ensuring the “Images” folder is at the same path as the main script, StrEmbed_6_1.py, and the secondary module</w:t>
      </w:r>
      <w:r w:rsidR="00AB226F">
        <w:t>, step_</w:t>
      </w:r>
      <w:r>
        <w:t xml:space="preserve">parse_6_1.py. </w:t>
      </w:r>
      <w:r w:rsidR="00326C01">
        <w:t xml:space="preserve">Also unpack the “partfindv1.zip” file from the “Releases” </w:t>
      </w:r>
      <w:r w:rsidR="00DA13D3">
        <w:t>page</w:t>
      </w:r>
      <w:r w:rsidR="00326C01">
        <w:t xml:space="preserve"> into the same folder as your scripts. </w:t>
      </w:r>
      <w:r>
        <w:t xml:space="preserve">Then, </w:t>
      </w:r>
      <w:r w:rsidR="00724CAF">
        <w:t xml:space="preserve">navigate to the correct directory and </w:t>
      </w:r>
      <w:r>
        <w:t>either run StrEmbed directly in the command line (Windows), as follows:</w:t>
      </w:r>
    </w:p>
    <w:p w14:paraId="4356B60A" w14:textId="77777777" w:rsidR="007833A0" w:rsidRDefault="007833A0" w:rsidP="007833A0"/>
    <w:p w14:paraId="709274D9" w14:textId="77777777" w:rsidR="007833A0" w:rsidRPr="007833A0" w:rsidRDefault="007833A0" w:rsidP="007833A0">
      <w:pPr>
        <w:rPr>
          <w:rFonts w:ascii="Courier New" w:hAnsi="Courier New"/>
        </w:rPr>
      </w:pPr>
      <w:r w:rsidRPr="007833A0">
        <w:rPr>
          <w:rFonts w:ascii="Courier New" w:hAnsi="Courier New"/>
        </w:rPr>
        <w:tab/>
        <w:t>python StrEmbed_6_1.py</w:t>
      </w:r>
    </w:p>
    <w:p w14:paraId="3D999328" w14:textId="77777777" w:rsidR="007833A0" w:rsidRDefault="007833A0" w:rsidP="007833A0"/>
    <w:p w14:paraId="47AF35C8" w14:textId="76D4ADE7" w:rsidR="007833A0" w:rsidRDefault="007833A0" w:rsidP="007833A0">
      <w:r>
        <w:t>or in your Python IDE.</w:t>
      </w:r>
      <w:r w:rsidR="00485B1E">
        <w:t xml:space="preserve"> There follows some instructions on how to create a minimal virtual environment </w:t>
      </w:r>
      <w:r w:rsidR="00485B1E">
        <w:rPr>
          <w:i/>
        </w:rPr>
        <w:t xml:space="preserve">via </w:t>
      </w:r>
      <w:r w:rsidR="00485B1E">
        <w:t>Anaconda or Miniconda in which you can run StrEmbed-6-1. First, create an empty environment</w:t>
      </w:r>
      <w:r w:rsidR="0086425A">
        <w:t xml:space="preserve"> using the commands below (or through Anaconda Navigator or another Python environment management module like venv)</w:t>
      </w:r>
      <w:r w:rsidR="00485B1E">
        <w:t>, where &lt;env_name&gt; is whatever you choose. Your Python version should not exceed 3.9, as Wxpython may not be compatible with later versions at time of writing.</w:t>
      </w:r>
    </w:p>
    <w:p w14:paraId="51CEDA83" w14:textId="6D2371E3" w:rsidR="00485B1E" w:rsidRDefault="00485B1E" w:rsidP="007833A0"/>
    <w:p w14:paraId="69C2F231" w14:textId="79B66A42" w:rsidR="00485B1E" w:rsidRPr="00485B1E" w:rsidRDefault="00485B1E" w:rsidP="00485B1E">
      <w:pPr>
        <w:ind w:left="720"/>
        <w:rPr>
          <w:rFonts w:ascii="Courier New" w:hAnsi="Courier New"/>
        </w:rPr>
      </w:pPr>
      <w:r w:rsidRPr="00485B1E">
        <w:rPr>
          <w:rFonts w:ascii="Courier New" w:hAnsi="Courier New"/>
        </w:rPr>
        <w:t>conda create --name &lt;env_name&gt; python==3.9</w:t>
      </w:r>
    </w:p>
    <w:p w14:paraId="76D24333" w14:textId="6E0B066A" w:rsidR="00485B1E" w:rsidRPr="00485B1E" w:rsidRDefault="00485B1E" w:rsidP="00485B1E">
      <w:pPr>
        <w:ind w:left="720"/>
        <w:rPr>
          <w:rFonts w:ascii="Courier New" w:hAnsi="Courier New"/>
        </w:rPr>
      </w:pPr>
      <w:r w:rsidRPr="00485B1E">
        <w:rPr>
          <w:rFonts w:ascii="Courier New" w:hAnsi="Courier New"/>
        </w:rPr>
        <w:t>conda activate &lt;env_name&gt;</w:t>
      </w:r>
    </w:p>
    <w:p w14:paraId="7B68EFF6" w14:textId="77777777" w:rsidR="00485B1E" w:rsidRDefault="00485B1E" w:rsidP="00485B1E"/>
    <w:p w14:paraId="5F6D04BA" w14:textId="02C8B6BD" w:rsidR="00485B1E" w:rsidRDefault="00485B1E" w:rsidP="00485B1E">
      <w:r>
        <w:t>The install the modules upon which StrEmbed-6-1 relies.</w:t>
      </w:r>
    </w:p>
    <w:p w14:paraId="4807DA4A" w14:textId="77777777" w:rsidR="00485B1E" w:rsidRDefault="00485B1E" w:rsidP="00485B1E"/>
    <w:p w14:paraId="745B4BC1" w14:textId="77777777" w:rsidR="00485B1E" w:rsidRPr="00485B1E" w:rsidRDefault="00485B1E" w:rsidP="00485B1E">
      <w:pPr>
        <w:ind w:left="720"/>
        <w:rPr>
          <w:rFonts w:ascii="Courier New" w:hAnsi="Courier New"/>
        </w:rPr>
      </w:pPr>
      <w:r w:rsidRPr="00485B1E">
        <w:rPr>
          <w:rFonts w:ascii="Courier New" w:hAnsi="Courier New"/>
        </w:rPr>
        <w:t>pip install wxPython</w:t>
      </w:r>
    </w:p>
    <w:p w14:paraId="6D761270" w14:textId="77777777" w:rsidR="00485B1E" w:rsidRPr="00485B1E" w:rsidRDefault="00485B1E" w:rsidP="00485B1E">
      <w:pPr>
        <w:ind w:left="720"/>
        <w:rPr>
          <w:rFonts w:ascii="Courier New" w:hAnsi="Courier New"/>
        </w:rPr>
      </w:pPr>
      <w:r w:rsidRPr="00485B1E">
        <w:rPr>
          <w:rFonts w:ascii="Courier New" w:hAnsi="Courier New"/>
        </w:rPr>
        <w:t>pip install matplotlib</w:t>
      </w:r>
    </w:p>
    <w:p w14:paraId="65AE3F1B" w14:textId="77777777" w:rsidR="00485B1E" w:rsidRPr="00485B1E" w:rsidRDefault="00485B1E" w:rsidP="00485B1E">
      <w:pPr>
        <w:ind w:left="720"/>
        <w:rPr>
          <w:rFonts w:ascii="Courier New" w:hAnsi="Courier New"/>
        </w:rPr>
      </w:pPr>
      <w:r w:rsidRPr="00485B1E">
        <w:rPr>
          <w:rFonts w:ascii="Courier New" w:hAnsi="Courier New"/>
        </w:rPr>
        <w:t>pip install networkx</w:t>
      </w:r>
    </w:p>
    <w:p w14:paraId="68B7E8B7" w14:textId="77777777" w:rsidR="00485B1E" w:rsidRPr="00485B1E" w:rsidRDefault="00485B1E" w:rsidP="00485B1E">
      <w:pPr>
        <w:ind w:left="720"/>
        <w:rPr>
          <w:rFonts w:ascii="Courier New" w:hAnsi="Courier New"/>
        </w:rPr>
      </w:pPr>
      <w:r w:rsidRPr="00485B1E">
        <w:rPr>
          <w:rFonts w:ascii="Courier New" w:hAnsi="Courier New"/>
        </w:rPr>
        <w:t>pip install scipy</w:t>
      </w:r>
    </w:p>
    <w:p w14:paraId="7267A29F" w14:textId="77777777" w:rsidR="00485B1E" w:rsidRPr="00485B1E" w:rsidRDefault="00485B1E" w:rsidP="00485B1E">
      <w:pPr>
        <w:ind w:left="720"/>
        <w:rPr>
          <w:rFonts w:ascii="Courier New" w:hAnsi="Courier New"/>
        </w:rPr>
      </w:pPr>
      <w:r w:rsidRPr="00485B1E">
        <w:rPr>
          <w:rFonts w:ascii="Courier New" w:hAnsi="Courier New"/>
        </w:rPr>
        <w:t>pip install xlsxwriter</w:t>
      </w:r>
    </w:p>
    <w:p w14:paraId="0CD6AE6B" w14:textId="77777777" w:rsidR="00485B1E" w:rsidRPr="00485B1E" w:rsidRDefault="00485B1E" w:rsidP="00485B1E">
      <w:pPr>
        <w:ind w:left="720"/>
        <w:rPr>
          <w:rFonts w:ascii="Courier New" w:hAnsi="Courier New"/>
        </w:rPr>
      </w:pPr>
      <w:r w:rsidRPr="00485B1E">
        <w:rPr>
          <w:rFonts w:ascii="Courier New" w:hAnsi="Courier New"/>
        </w:rPr>
        <w:t>pip install nltk</w:t>
      </w:r>
    </w:p>
    <w:p w14:paraId="22EDEDB4" w14:textId="77777777" w:rsidR="00485B1E" w:rsidRPr="00485B1E" w:rsidRDefault="00485B1E" w:rsidP="00485B1E">
      <w:pPr>
        <w:ind w:left="720"/>
        <w:rPr>
          <w:rFonts w:ascii="Courier New" w:hAnsi="Courier New"/>
        </w:rPr>
      </w:pPr>
      <w:r w:rsidRPr="00485B1E">
        <w:rPr>
          <w:rFonts w:ascii="Courier New" w:hAnsi="Courier New"/>
        </w:rPr>
        <w:t>conda install -c conda-forge pythonocc-core=7.5.1 occt=7.5.1</w:t>
      </w:r>
    </w:p>
    <w:p w14:paraId="1CC4DA06" w14:textId="77777777" w:rsidR="00485B1E" w:rsidRDefault="00485B1E" w:rsidP="00485B1E"/>
    <w:p w14:paraId="3A587933" w14:textId="37AAC16A" w:rsidR="00485B1E" w:rsidRDefault="00485B1E" w:rsidP="00485B1E">
      <w:r>
        <w:t>You must then replace the following PythonOCC scripts manually, either in your base environment or in &lt;env_name&gt;: (1) Quantity.py, (2) TDF.py and (3) TopLoc.py</w:t>
      </w:r>
      <w:r w:rsidR="00671743">
        <w:t xml:space="preserve">. These are provided in </w:t>
      </w:r>
      <w:r w:rsidR="00692395">
        <w:t>the “PythonOCC scripts”</w:t>
      </w:r>
      <w:r w:rsidR="00671743">
        <w:t xml:space="preserve"> folder in the zip file that you can download from Github</w:t>
      </w:r>
      <w:r w:rsidR="00692395">
        <w:t xml:space="preserve">. This is </w:t>
      </w:r>
      <w:r>
        <w:t>a temporary solution to allow duplication of assemblies (specifically the PythonOCC objects within them), and it may produce SafetyError and ClobberError warnings, which can be ignored</w:t>
      </w:r>
      <w:r w:rsidR="00671743">
        <w:t xml:space="preserve">. Details of the motivation for this workaround are </w:t>
      </w:r>
      <w:r w:rsidR="00C614DC">
        <w:t xml:space="preserve">at Github </w:t>
      </w:r>
      <w:hyperlink r:id="rId16" w:history="1">
        <w:r w:rsidR="00671743" w:rsidRPr="00C614DC">
          <w:rPr>
            <w:rStyle w:val="Hyperlink"/>
          </w:rPr>
          <w:t>here</w:t>
        </w:r>
      </w:hyperlink>
      <w:r w:rsidR="00671743">
        <w:t>.</w:t>
      </w:r>
    </w:p>
    <w:p w14:paraId="6F2E795C" w14:textId="5C54F8C6" w:rsidR="00485B1E" w:rsidRDefault="00485B1E" w:rsidP="00485B1E"/>
    <w:p w14:paraId="42D8BCA4" w14:textId="16BFDA3D" w:rsidR="00671743" w:rsidRDefault="00671743" w:rsidP="00485B1E">
      <w:r>
        <w:t>Finally, install the following modules:</w:t>
      </w:r>
    </w:p>
    <w:p w14:paraId="59242283" w14:textId="77777777" w:rsidR="00671743" w:rsidRDefault="00671743" w:rsidP="00485B1E"/>
    <w:p w14:paraId="64F2A479" w14:textId="77777777" w:rsidR="00485B1E" w:rsidRPr="00671743" w:rsidRDefault="00485B1E" w:rsidP="00671743">
      <w:pPr>
        <w:ind w:left="720"/>
        <w:rPr>
          <w:rFonts w:ascii="Courier New" w:hAnsi="Courier New"/>
        </w:rPr>
      </w:pPr>
      <w:r w:rsidRPr="00671743">
        <w:rPr>
          <w:rFonts w:ascii="Courier New" w:hAnsi="Courier New"/>
        </w:rPr>
        <w:t>conda install -c dglteam dgl</w:t>
      </w:r>
    </w:p>
    <w:p w14:paraId="4B9C9F15" w14:textId="77777777" w:rsidR="00485B1E" w:rsidRPr="00671743" w:rsidRDefault="00485B1E" w:rsidP="00671743">
      <w:pPr>
        <w:ind w:left="720"/>
        <w:rPr>
          <w:rFonts w:ascii="Courier New" w:hAnsi="Courier New"/>
        </w:rPr>
      </w:pPr>
      <w:r w:rsidRPr="00671743">
        <w:rPr>
          <w:rFonts w:ascii="Courier New" w:hAnsi="Courier New"/>
        </w:rPr>
        <w:t>conda install -c conda-forge grakel</w:t>
      </w:r>
    </w:p>
    <w:p w14:paraId="528FBC66" w14:textId="77777777" w:rsidR="00485B1E" w:rsidRPr="00671743" w:rsidRDefault="00485B1E" w:rsidP="00671743">
      <w:pPr>
        <w:ind w:left="720"/>
        <w:rPr>
          <w:rFonts w:ascii="Courier New" w:hAnsi="Courier New"/>
        </w:rPr>
      </w:pPr>
      <w:r w:rsidRPr="00671743">
        <w:rPr>
          <w:rFonts w:ascii="Courier New" w:hAnsi="Courier New"/>
        </w:rPr>
        <w:t>pip install pydot</w:t>
      </w:r>
    </w:p>
    <w:p w14:paraId="163A1AEF" w14:textId="77777777" w:rsidR="00671743" w:rsidRPr="00671743" w:rsidRDefault="00671743" w:rsidP="00671743">
      <w:pPr>
        <w:ind w:left="720"/>
        <w:rPr>
          <w:rFonts w:ascii="Courier New" w:hAnsi="Courier New"/>
        </w:rPr>
      </w:pPr>
      <w:r w:rsidRPr="00671743">
        <w:rPr>
          <w:rFonts w:ascii="Courier New" w:hAnsi="Courier New"/>
        </w:rPr>
        <w:t>pip install torch</w:t>
      </w:r>
    </w:p>
    <w:p w14:paraId="6F3B71BD" w14:textId="5FDEB86A" w:rsidR="00485B1E" w:rsidRDefault="00485B1E" w:rsidP="00485B1E"/>
    <w:p w14:paraId="05A6006C" w14:textId="2325E50C" w:rsidR="00671743" w:rsidRDefault="00671743" w:rsidP="00671743">
      <w:r>
        <w:t xml:space="preserve">At this point, you </w:t>
      </w:r>
      <w:r w:rsidR="00DA0A8C">
        <w:t xml:space="preserve">must copy the “partfindv1” folder to your “dist” folder and then you </w:t>
      </w:r>
      <w:r>
        <w:t>may try to run StrEmbed</w:t>
      </w:r>
      <w:r w:rsidR="00C614DC">
        <w:t xml:space="preserve"> in your Python IDE or in the command line</w:t>
      </w:r>
      <w:r>
        <w:t xml:space="preserve">, for example with the command below; if it fails, please submit an issue </w:t>
      </w:r>
      <w:r w:rsidRPr="00671743">
        <w:rPr>
          <w:i/>
        </w:rPr>
        <w:t>via</w:t>
      </w:r>
      <w:r>
        <w:t xml:space="preserve"> Github.</w:t>
      </w:r>
    </w:p>
    <w:p w14:paraId="4AC7466E" w14:textId="77777777" w:rsidR="00671743" w:rsidRDefault="00671743" w:rsidP="00671743"/>
    <w:p w14:paraId="4C6AEED9" w14:textId="61FD89C9" w:rsidR="00671743" w:rsidRPr="00671743" w:rsidRDefault="00671743" w:rsidP="00671743">
      <w:pPr>
        <w:ind w:left="720"/>
        <w:rPr>
          <w:rFonts w:ascii="Courier New" w:hAnsi="Courier New"/>
        </w:rPr>
      </w:pPr>
      <w:r w:rsidRPr="00671743">
        <w:rPr>
          <w:rFonts w:ascii="Courier New" w:hAnsi="Courier New"/>
        </w:rPr>
        <w:t>python StrEmbed_6_1.py</w:t>
      </w:r>
    </w:p>
    <w:p w14:paraId="7E55A62D" w14:textId="7FC4DC9E" w:rsidR="00671743" w:rsidRDefault="00671743" w:rsidP="00485B1E"/>
    <w:p w14:paraId="3A3539F5" w14:textId="77777777" w:rsidR="00B9477E" w:rsidRDefault="00B9477E" w:rsidP="00B9477E">
      <w:pPr>
        <w:pStyle w:val="LEUHeadingTwo"/>
        <w:spacing w:after="120"/>
        <w:jc w:val="both"/>
        <w:rPr>
          <w:color w:val="000000" w:themeColor="text1"/>
        </w:rPr>
      </w:pPr>
      <w:r>
        <w:rPr>
          <w:color w:val="000000" w:themeColor="text1"/>
        </w:rPr>
        <w:t>Build your own StrEmbed-6-1 executable (not recommended)</w:t>
      </w:r>
    </w:p>
    <w:p w14:paraId="4A274B57" w14:textId="1059B9B4" w:rsidR="00B9477E" w:rsidRPr="00B9477E" w:rsidRDefault="00B9477E" w:rsidP="00B9477E">
      <w:r w:rsidRPr="00B9477E">
        <w:t>The following instructions are for creating your own executables using Pyinstaller, and it is assumed that you wish the executables to be as small as possible. Follow the instructions above for setting up a virtual environment, but after creating the environment, execute the following commands, which prevent the MKL package from being installed, as it is very large and will bloat any executable you create later. It is a dependency of some packages but alternatives exist (BLAS)</w:t>
      </w:r>
      <w:r w:rsidR="00724CAF">
        <w:t>; this is managed by the packages themselves and required no more consideration by the user</w:t>
      </w:r>
      <w:r w:rsidRPr="00B9477E">
        <w:t>.</w:t>
      </w:r>
    </w:p>
    <w:p w14:paraId="70B396D0" w14:textId="77777777" w:rsidR="00B9477E" w:rsidRPr="00B9477E" w:rsidRDefault="00B9477E" w:rsidP="00B9477E"/>
    <w:p w14:paraId="6082383F" w14:textId="77777777" w:rsidR="00B9477E" w:rsidRPr="00B9477E" w:rsidRDefault="00B9477E" w:rsidP="00B9477E">
      <w:pPr>
        <w:ind w:left="720"/>
        <w:rPr>
          <w:rFonts w:ascii="Courier New" w:hAnsi="Courier New"/>
        </w:rPr>
      </w:pPr>
      <w:r w:rsidRPr="00B9477E">
        <w:rPr>
          <w:rFonts w:ascii="Courier New" w:hAnsi="Courier New"/>
        </w:rPr>
        <w:t>conda config --add channels conda-forge</w:t>
      </w:r>
    </w:p>
    <w:p w14:paraId="7EB4BB73" w14:textId="77777777" w:rsidR="00B9477E" w:rsidRPr="00B9477E" w:rsidRDefault="00B9477E" w:rsidP="00B9477E">
      <w:pPr>
        <w:ind w:left="720"/>
        <w:rPr>
          <w:rFonts w:ascii="Courier New" w:hAnsi="Courier New"/>
        </w:rPr>
      </w:pPr>
      <w:r w:rsidRPr="00B9477E">
        <w:rPr>
          <w:rFonts w:ascii="Courier New" w:hAnsi="Courier New"/>
        </w:rPr>
        <w:t>conda install nomkl</w:t>
      </w:r>
    </w:p>
    <w:p w14:paraId="3E50928F" w14:textId="511812CA" w:rsidR="00B9477E" w:rsidRDefault="00B9477E" w:rsidP="00485B1E"/>
    <w:p w14:paraId="2395BFDA" w14:textId="07E2856F" w:rsidR="00B9477E" w:rsidRDefault="00B9477E" w:rsidP="00485B1E">
      <w:r>
        <w:lastRenderedPageBreak/>
        <w:t>The</w:t>
      </w:r>
      <w:r w:rsidR="00724CAF">
        <w:t>n</w:t>
      </w:r>
      <w:r>
        <w:t xml:space="preserve"> install Pyinstaller itself,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1D705688" w:rsidR="00485B1E" w:rsidRDefault="00485B1E" w:rsidP="00485B1E">
      <w:r>
        <w:t xml:space="preserve">It is then necessary to update Pyinstaller using a development version, to solve issues related to the </w:t>
      </w:r>
      <w:hyperlink r:id="rId17" w:history="1">
        <w:r w:rsidRPr="00B9477E">
          <w:rPr>
            <w:rStyle w:val="Hyperlink"/>
          </w:rPr>
          <w:t>Scikit-learn</w:t>
        </w:r>
      </w:hyperlink>
      <w:r>
        <w:t xml:space="preserve"> package, as described in issues </w:t>
      </w:r>
      <w:r w:rsidR="00B9477E">
        <w:t xml:space="preserve">at Github </w:t>
      </w:r>
      <w:hyperlink r:id="rId18" w:history="1">
        <w:r w:rsidR="00B9477E" w:rsidRPr="00B9477E">
          <w:rPr>
            <w:rStyle w:val="Hyperlink"/>
          </w:rPr>
          <w:t>here</w:t>
        </w:r>
      </w:hyperlink>
      <w:r w:rsidR="00B9477E">
        <w:t xml:space="preserve"> and </w:t>
      </w:r>
      <w:hyperlink r:id="rId19" w:history="1">
        <w:r w:rsidR="00B9477E" w:rsidRPr="00B9477E">
          <w:rPr>
            <w:rStyle w:val="Hyperlink"/>
          </w:rPr>
          <w:t>here</w:t>
        </w:r>
      </w:hyperlink>
      <w:r w:rsidR="00B9477E">
        <w:t>.</w:t>
      </w:r>
    </w:p>
    <w:p w14:paraId="29DDC6A8" w14:textId="77777777" w:rsidR="00B9477E" w:rsidRDefault="00B9477E" w:rsidP="00485B1E"/>
    <w:p w14:paraId="14DC9C46" w14:textId="146CB80F" w:rsidR="00485B1E" w:rsidRPr="00B9477E" w:rsidRDefault="00485B1E" w:rsidP="00B9477E">
      <w:pPr>
        <w:ind w:left="720"/>
        <w:rPr>
          <w:rFonts w:ascii="Courier New" w:hAnsi="Courier New"/>
        </w:rPr>
      </w:pPr>
      <w:r w:rsidRPr="00B9477E">
        <w:rPr>
          <w:rFonts w:ascii="Courier New" w:hAnsi="Courier New"/>
        </w:rPr>
        <w:t>conda install git</w:t>
      </w:r>
    </w:p>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677C1B81" w14:textId="6A9E2770" w:rsidR="00485B1E" w:rsidRDefault="00485B1E" w:rsidP="00485B1E">
      <w:r>
        <w:t>The previous command should install the "pyinstaller-hooks-contrib" package at version 2022.8 or higher</w:t>
      </w:r>
      <w:r w:rsidR="009E77FA">
        <w:t xml:space="preserve">. You </w:t>
      </w:r>
      <w:r>
        <w:t xml:space="preserve">may then choose to uninstall git to </w:t>
      </w:r>
      <w:r w:rsidR="009E77FA">
        <w:t>reduce the size of</w:t>
      </w:r>
      <w:r>
        <w:t xml:space="preserve"> any executable you create </w:t>
      </w:r>
      <w:r w:rsidR="009E77FA">
        <w:t>subsequently create, as follows:</w:t>
      </w:r>
    </w:p>
    <w:p w14:paraId="505BD6D1" w14:textId="77777777" w:rsidR="009E77FA" w:rsidRDefault="009E77FA" w:rsidP="00485B1E"/>
    <w:p w14:paraId="1F3803D9" w14:textId="77777777" w:rsidR="00485B1E" w:rsidRPr="009E77FA" w:rsidRDefault="00485B1E" w:rsidP="009E77FA">
      <w:pPr>
        <w:ind w:left="720"/>
        <w:rPr>
          <w:rFonts w:ascii="Courier New" w:hAnsi="Courier New"/>
        </w:rPr>
      </w:pPr>
      <w:r w:rsidRPr="009E77FA">
        <w:rPr>
          <w:rFonts w:ascii="Courier New" w:hAnsi="Courier New"/>
        </w:rPr>
        <w:t>conda remove --name &lt;env_name&gt; git</w:t>
      </w:r>
    </w:p>
    <w:p w14:paraId="42F86975" w14:textId="77777777" w:rsidR="00485B1E" w:rsidRDefault="00485B1E" w:rsidP="00485B1E"/>
    <w:p w14:paraId="379B72F9" w14:textId="549A46D2" w:rsidR="00485B1E" w:rsidRDefault="009E77FA" w:rsidP="00485B1E">
      <w:r>
        <w:t>The Pyinstaller module allows detailed specifications</w:t>
      </w:r>
      <w:r w:rsidR="00485B1E">
        <w:t xml:space="preserve"> </w:t>
      </w:r>
      <w:r w:rsidR="00724CAF">
        <w:t xml:space="preserve">of the build process </w:t>
      </w:r>
      <w:r>
        <w:t>and you are referred to its documentation. I</w:t>
      </w:r>
      <w:r w:rsidR="00485B1E">
        <w:t xml:space="preserve">t is recommended to move your scripts to a folder with a short path name, </w:t>
      </w:r>
      <w:r w:rsidR="00485B1E" w:rsidRPr="009E77FA">
        <w:rPr>
          <w:i/>
        </w:rPr>
        <w:t>e.g.</w:t>
      </w:r>
      <w:r w:rsidR="00485B1E">
        <w:t xml:space="preserve"> the desktop, as longer paths sometimes cause file-not-found errors or similar</w:t>
      </w:r>
      <w:r>
        <w:t>.</w:t>
      </w:r>
    </w:p>
    <w:p w14:paraId="60F790F1" w14:textId="77777777" w:rsidR="009E77FA" w:rsidRDefault="009E77FA" w:rsidP="00485B1E"/>
    <w:p w14:paraId="61969B7D" w14:textId="77777777" w:rsidR="00485B1E" w:rsidRPr="009E77FA" w:rsidRDefault="00485B1E" w:rsidP="009E77FA">
      <w:pPr>
        <w:ind w:left="720"/>
        <w:rPr>
          <w:rFonts w:ascii="Courier New" w:hAnsi="Courier New"/>
        </w:rPr>
      </w:pPr>
      <w:r w:rsidRPr="009E77FA">
        <w:rPr>
          <w:rFonts w:ascii="Courier New" w:hAnsi="Courier New"/>
        </w:rPr>
        <w:t>pyinstaller --clean --noconfirm StrEmbed_6_1.py --collect-binaries dgl --hiddenimport dgl.backend.pytorch --hiddenimport dgl.distributed.nn.pytorch --hiddenimport dgl.distributed.optim.pytorch --hiddenimport dgl.optim.pytorch --hidden-import grakel --collect-binaries grakel --hidden-import grakel.kernels._isomorphism.intpybliss</w:t>
      </w:r>
    </w:p>
    <w:p w14:paraId="69D7ECDD" w14:textId="77777777" w:rsidR="00485B1E" w:rsidRDefault="00485B1E" w:rsidP="00485B1E"/>
    <w:p w14:paraId="1BA6CE0D" w14:textId="4E51D5E6" w:rsidR="00485B1E" w:rsidRDefault="00485B1E" w:rsidP="00485B1E">
      <w:r>
        <w:t xml:space="preserve">You may add the following optional commands to the above: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p>
    <w:p w14:paraId="693B948C" w14:textId="77777777" w:rsidR="00485B1E" w:rsidRDefault="00485B1E" w:rsidP="00485B1E"/>
    <w:p w14:paraId="2DBEB82B" w14:textId="63236735" w:rsidR="00485B1E" w:rsidRDefault="00485B1E" w:rsidP="00485B1E">
      <w:r>
        <w:t>You can then double-click the StrEmbed_6_1.exe executable, which should run. Note that any error warnings related to duplicated library files (.dll) that you may see when running an executable can be ignored and do not affect the operation of StrEmbed. Optionally, or if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77777777" w:rsidR="00485B1E" w:rsidRPr="00C614DC" w:rsidRDefault="00485B1E" w:rsidP="00C614DC">
      <w:pPr>
        <w:ind w:left="720"/>
        <w:rPr>
          <w:rFonts w:ascii="Courier New" w:hAnsi="Courier New"/>
        </w:rPr>
      </w:pPr>
      <w:r w:rsidRPr="00C614DC">
        <w:rPr>
          <w:rFonts w:ascii="Courier New" w:hAnsi="Courier New"/>
        </w:rPr>
        <w:t>StrEmbed_6_1.exe &gt; &lt;file_name&gt;.txt &amp;&amp; type &lt;file_name&gt;.txt</w:t>
      </w:r>
    </w:p>
    <w:p w14:paraId="291C8953" w14:textId="41534737" w:rsidR="00ED266A" w:rsidRDefault="00ED266A" w:rsidP="00ED266A"/>
    <w:p w14:paraId="46CCFB83" w14:textId="55AA7933" w:rsidR="00CD7F73" w:rsidRPr="00EB7DC1" w:rsidRDefault="0097052B" w:rsidP="008541B1">
      <w:pPr>
        <w:pStyle w:val="LEUHeadingOne"/>
        <w:jc w:val="both"/>
        <w:rPr>
          <w:color w:val="000000" w:themeColor="text1"/>
        </w:rPr>
      </w:pPr>
      <w:r>
        <w:rPr>
          <w:color w:val="000000" w:themeColor="text1"/>
        </w:rPr>
        <w:t>Using StrEmbed-</w:t>
      </w:r>
      <w:r w:rsidR="002575A2">
        <w:rPr>
          <w:color w:val="000000" w:themeColor="text1"/>
        </w:rPr>
        <w:t>6-1</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lastRenderedPageBreak/>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20"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21"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251AAD38"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r w:rsidR="002575A2">
        <w:rPr>
          <w:color w:val="000000" w:themeColor="text1"/>
          <w:sz w:val="22"/>
          <w:szCs w:val="22"/>
        </w:rPr>
        <w:t>6-1</w:t>
      </w:r>
    </w:p>
    <w:p w14:paraId="62EAB6E4" w14:textId="514C4314"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2575A2">
        <w:rPr>
          <w:rFonts w:cs="Arial"/>
          <w:color w:val="000000" w:themeColor="text1"/>
          <w:sz w:val="22"/>
          <w:szCs w:val="22"/>
        </w:rPr>
        <w:t>6-1</w:t>
      </w:r>
      <w:r w:rsidRPr="009C7A7E">
        <w:rPr>
          <w:rFonts w:cs="Arial"/>
          <w:color w:val="000000" w:themeColor="text1"/>
          <w:sz w:val="22"/>
          <w:szCs w:val="22"/>
        </w:rPr>
        <w:t xml:space="preserve"> by any of the methods described in the previous section.</w:t>
      </w:r>
    </w:p>
    <w:p w14:paraId="61772A3C" w14:textId="6304E9B1"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2575A2">
        <w:rPr>
          <w:rFonts w:cs="Arial"/>
          <w:color w:val="000000" w:themeColor="text1"/>
          <w:sz w:val="22"/>
          <w:szCs w:val="22"/>
        </w:rPr>
        <w:t>6-1</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263820">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1"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1"/>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5"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6"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28FE8B84"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StrEmbed-6-1</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783C8D41"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w:t>
      </w:r>
      <w:r w:rsidR="005149F5">
        <w:rPr>
          <w:color w:val="000000" w:themeColor="text1"/>
          <w:sz w:val="22"/>
          <w:szCs w:val="22"/>
        </w:rPr>
        <w:t>volume of the part (as a proxy for its overall size)</w:t>
      </w:r>
      <w:r w:rsidR="00920EC3" w:rsidRPr="00F748DD">
        <w:rPr>
          <w:color w:val="000000" w:themeColor="text1"/>
          <w:sz w:val="22"/>
          <w:szCs w:val="22"/>
        </w:rPr>
        <w:t xml:space="preserve">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3"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51C56A4"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w:t>
      </w:r>
      <w:r w:rsidR="005149F5">
        <w:rPr>
          <w:color w:val="000000" w:themeColor="text1"/>
          <w:sz w:val="22"/>
          <w:szCs w:val="22"/>
        </w:rPr>
        <w:t>volume</w:t>
      </w:r>
      <w:r w:rsidR="000B541F" w:rsidRPr="000B541F">
        <w:rPr>
          <w:color w:val="000000" w:themeColor="text1"/>
          <w:sz w:val="22"/>
          <w:szCs w:val="22"/>
        </w:rPr>
        <w:t xml:space="preserve">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 xml:space="preserve">active </w:t>
      </w:r>
      <w:bookmarkStart w:id="5" w:name="_GoBack"/>
      <w:bookmarkEnd w:id="5"/>
      <w:r w:rsidR="003F33EC" w:rsidRPr="00544686">
        <w:rPr>
          <w:color w:val="000000" w:themeColor="text1"/>
          <w:sz w:val="22"/>
          <w:szCs w:val="22"/>
        </w:rPr>
        <w:t>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263820">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263820">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6"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6"/>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Github repository </w:t>
      </w:r>
      <w:hyperlink r:id="rId46"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hool of 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5149F5" w:rsidP="008541B1">
      <w:pPr>
        <w:pStyle w:val="LEUBodyText"/>
        <w:jc w:val="both"/>
        <w:rPr>
          <w:rStyle w:val="Hyperlink"/>
          <w:sz w:val="22"/>
          <w:szCs w:val="22"/>
        </w:rPr>
      </w:pPr>
      <w:hyperlink r:id="rId47"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756E5096" w:rsidR="00816F58" w:rsidRPr="00816F58" w:rsidRDefault="00A77EF9" w:rsidP="00816F58">
      <w:pPr>
        <w:pStyle w:val="LEUBodyText"/>
        <w:jc w:val="both"/>
        <w:rPr>
          <w:color w:val="000000" w:themeColor="text1"/>
          <w:sz w:val="22"/>
          <w:szCs w:val="22"/>
        </w:rPr>
      </w:pPr>
      <w:r>
        <w:rPr>
          <w:color w:val="000000" w:themeColor="text1"/>
          <w:sz w:val="22"/>
          <w:szCs w:val="22"/>
        </w:rPr>
        <w:t xml:space="preserve">StrEmbed-6-1 uses the Wxpython module for its graphical user interface (GUI), a kind of event-driven system in which the application reacts to user’s interactions </w:t>
      </w:r>
      <w:r w:rsidRPr="00816F58">
        <w:rPr>
          <w:color w:val="000000" w:themeColor="text1"/>
          <w:sz w:val="22"/>
          <w:szCs w:val="22"/>
        </w:rPr>
        <w:t>via</w:t>
      </w:r>
      <w:r>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7"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7"/>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8"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8"/>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9"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9"/>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8"/>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10"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10"/>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1"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1"/>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9"/>
      <w:footerReference w:type="default" r:id="rId50"/>
      <w:headerReference w:type="first" r:id="rId51"/>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CC747" w14:textId="77777777" w:rsidR="00816F58" w:rsidRDefault="00816F58" w:rsidP="009C7A7E">
      <w:r>
        <w:separator/>
      </w:r>
    </w:p>
  </w:endnote>
  <w:endnote w:type="continuationSeparator" w:id="0">
    <w:p w14:paraId="3775E9D3" w14:textId="77777777" w:rsidR="00816F58" w:rsidRDefault="00816F58"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030DD" w14:textId="77777777" w:rsidR="00816F58" w:rsidRDefault="00816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7290FB8E" w:rsidR="00816F58" w:rsidRDefault="00816F58" w:rsidP="006D2E5A">
                          <w:pPr>
                            <w:pStyle w:val="LEUPgNum"/>
                          </w:pPr>
                          <w:r>
                            <w:fldChar w:fldCharType="begin"/>
                          </w:r>
                          <w:r>
                            <w:instrText xml:space="preserve"> PAGE  </w:instrText>
                          </w:r>
                          <w:r>
                            <w:fldChar w:fldCharType="separate"/>
                          </w:r>
                          <w:r w:rsidR="005149F5">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14:paraId="0426694B" w14:textId="7290FB8E" w:rsidR="00816F58" w:rsidRDefault="00816F58" w:rsidP="006D2E5A">
                    <w:pPr>
                      <w:pStyle w:val="LEUPgNum"/>
                    </w:pPr>
                    <w:r>
                      <w:fldChar w:fldCharType="begin"/>
                    </w:r>
                    <w:r>
                      <w:instrText xml:space="preserve"> PAGE  </w:instrText>
                    </w:r>
                    <w:r>
                      <w:fldChar w:fldCharType="separate"/>
                    </w:r>
                    <w:r w:rsidR="005149F5">
                      <w:rPr>
                        <w:noProof/>
                      </w:rPr>
                      <w:t>8</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891F02" w14:textId="77777777" w:rsidR="00816F58" w:rsidRDefault="00816F58" w:rsidP="009C7A7E">
      <w:r>
        <w:separator/>
      </w:r>
    </w:p>
  </w:footnote>
  <w:footnote w:type="continuationSeparator" w:id="0">
    <w:p w14:paraId="63776F7C" w14:textId="77777777" w:rsidR="00816F58" w:rsidRDefault="00816F58"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F4F58" w14:textId="77777777" w:rsidR="00816F58" w:rsidRDefault="00816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6DD8C264"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5149F5">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1EFBBE4B"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5149F5">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SKrQ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6DD8C264"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5149F5">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1EFBBE4B"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5149F5">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B5237" w14:textId="77777777" w:rsidR="00816F58" w:rsidRDefault="00816F58" w:rsidP="006D2E5A">
    <w:pPr>
      <w:pStyle w:val="LEUHeader"/>
    </w:pPr>
    <w:r>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14:paraId="523C40A7" w14:textId="77777777" w:rsidR="00816F58" w:rsidRDefault="00816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47FED"/>
    <w:rsid w:val="001559E6"/>
    <w:rsid w:val="001563E2"/>
    <w:rsid w:val="0016521D"/>
    <w:rsid w:val="0016554F"/>
    <w:rsid w:val="00167119"/>
    <w:rsid w:val="00172F78"/>
    <w:rsid w:val="00176A1A"/>
    <w:rsid w:val="001A015E"/>
    <w:rsid w:val="001A2AE8"/>
    <w:rsid w:val="001A6653"/>
    <w:rsid w:val="001B5FD7"/>
    <w:rsid w:val="001B7358"/>
    <w:rsid w:val="001C3029"/>
    <w:rsid w:val="001C7B38"/>
    <w:rsid w:val="001D21FF"/>
    <w:rsid w:val="001D3EE3"/>
    <w:rsid w:val="001E3055"/>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149F5"/>
    <w:rsid w:val="00523997"/>
    <w:rsid w:val="00523DAC"/>
    <w:rsid w:val="00531335"/>
    <w:rsid w:val="0053212A"/>
    <w:rsid w:val="005348A5"/>
    <w:rsid w:val="00544686"/>
    <w:rsid w:val="00546A83"/>
    <w:rsid w:val="0055463C"/>
    <w:rsid w:val="0056276A"/>
    <w:rsid w:val="00563757"/>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E1668"/>
    <w:rsid w:val="008E3903"/>
    <w:rsid w:val="008F3689"/>
    <w:rsid w:val="008F428E"/>
    <w:rsid w:val="00902560"/>
    <w:rsid w:val="00906E1A"/>
    <w:rsid w:val="009132F2"/>
    <w:rsid w:val="00920EC3"/>
    <w:rsid w:val="009273CB"/>
    <w:rsid w:val="00932DBD"/>
    <w:rsid w:val="00940C72"/>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77EF9"/>
    <w:rsid w:val="00A84D2E"/>
    <w:rsid w:val="00A86EC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23321"/>
    <w:rsid w:val="00B233EB"/>
    <w:rsid w:val="00B27559"/>
    <w:rsid w:val="00B34C07"/>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7145E"/>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52C4C"/>
    <w:rsid w:val="00D6284D"/>
    <w:rsid w:val="00D7258F"/>
    <w:rsid w:val="00D7707C"/>
    <w:rsid w:val="00D837D4"/>
    <w:rsid w:val="00D905BE"/>
    <w:rsid w:val="00D93713"/>
    <w:rsid w:val="00DA0A8C"/>
    <w:rsid w:val="00DA13D3"/>
    <w:rsid w:val="00DA72D0"/>
    <w:rsid w:val="00DB2DDA"/>
    <w:rsid w:val="00DB793D"/>
    <w:rsid w:val="00DC6C11"/>
    <w:rsid w:val="00DE4406"/>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7B2"/>
    <w:rsid w:val="00EA6B4D"/>
    <w:rsid w:val="00EB0CA7"/>
    <w:rsid w:val="00EB47BC"/>
    <w:rsid w:val="00EB630A"/>
    <w:rsid w:val="00EB7DC1"/>
    <w:rsid w:val="00EC22A2"/>
    <w:rsid w:val="00EC47A8"/>
    <w:rsid w:val="00EC741F"/>
    <w:rsid w:val="00ED0DD2"/>
    <w:rsid w:val="00ED266A"/>
    <w:rsid w:val="00EF48D4"/>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addy-r/StrEmbed-6-1" TargetMode="External"/><Relationship Id="rId18" Type="http://schemas.openxmlformats.org/officeDocument/2006/relationships/hyperlink" Target="https://github.com/pyinstaller/pyinstaller/issues/6916" TargetMode="External"/><Relationship Id="rId26" Type="http://schemas.openxmlformats.org/officeDocument/2006/relationships/hyperlink" Target="https://matplotlib.org/tutorials/intermediate/artists.html"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s://www.freecadweb.org/"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hyperlink" Target="mailto:h.p.rice@leeds.ac.uk" TargetMode="External"/><Relationship Id="rId50" Type="http://schemas.openxmlformats.org/officeDocument/2006/relationships/footer" Target="footer1.xml"/><Relationship Id="rId7" Type="http://schemas.openxmlformats.org/officeDocument/2006/relationships/hyperlink" Target="mailto:h.p.rice@leeds.ac.uk" TargetMode="External"/><Relationship Id="rId12" Type="http://schemas.openxmlformats.org/officeDocument/2006/relationships/hyperlink" Target="https://github.com/tpaviot/pythonocc" TargetMode="External"/><Relationship Id="rId17" Type="http://schemas.openxmlformats.org/officeDocument/2006/relationships/hyperlink" Target="https://scikit-learn.org/stable/" TargetMode="External"/><Relationship Id="rId25" Type="http://schemas.openxmlformats.org/officeDocument/2006/relationships/hyperlink" Target="https://matplotlib.org/"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s://github.com/paddy-r/StrEmbed-6-1" TargetMode="External"/><Relationship Id="rId2" Type="http://schemas.openxmlformats.org/officeDocument/2006/relationships/styles" Target="styles.xml"/><Relationship Id="rId16" Type="http://schemas.openxmlformats.org/officeDocument/2006/relationships/hyperlink" Target="https://github.com/tpaviot/pythonocc-core/issues/1097" TargetMode="External"/><Relationship Id="rId20" Type="http://schemas.openxmlformats.org/officeDocument/2006/relationships/hyperlink" Target="https://www.solidworks.com/"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cascade.com/"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paddy-r/StrEmbed-6-1"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1.xml"/><Relationship Id="rId10" Type="http://schemas.openxmlformats.org/officeDocument/2006/relationships/hyperlink" Target="https://www.wxpython.org/" TargetMode="External"/><Relationship Id="rId19" Type="http://schemas.openxmlformats.org/officeDocument/2006/relationships/hyperlink" Target="https://github.com/pyinstaller/pyinstaller/issues/6919" TargetMode="External"/><Relationship Id="rId31" Type="http://schemas.openxmlformats.org/officeDocument/2006/relationships/image" Target="media/image8.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yder-ide.org/" TargetMode="External"/><Relationship Id="rId14" Type="http://schemas.openxmlformats.org/officeDocument/2006/relationships/hyperlink" Target="https://www.pyinstaller.org/"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github.com/thazlehurst/partfind" TargetMode="External"/><Relationship Id="rId48" Type="http://schemas.openxmlformats.org/officeDocument/2006/relationships/image" Target="media/image22.emf"/><Relationship Id="rId8" Type="http://schemas.openxmlformats.org/officeDocument/2006/relationships/hyperlink" Target="mailto:h.h.chau@leeds.ac.uk" TargetMode="External"/><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30.jpeg"/><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10181</TotalTime>
  <Pages>14</Pages>
  <Words>4142</Words>
  <Characters>23611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132</cp:revision>
  <cp:lastPrinted>2017-07-13T13:53:00Z</cp:lastPrinted>
  <dcterms:created xsi:type="dcterms:W3CDTF">2020-03-09T15:45:00Z</dcterms:created>
  <dcterms:modified xsi:type="dcterms:W3CDTF">2022-08-05T14:42:00Z</dcterms:modified>
</cp:coreProperties>
</file>