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80"/>
        <w:jc w:val="center"/>
      </w:pPr>
      <w:r>
        <w:rPr>
          <w:b/>
          <w:bCs/>
          <w:i w:val="false"/>
          <w:iCs w:val="false"/>
          <w:color w:val="1B1F3B"/>
          <w:sz w:val="56"/>
          <w:szCs w:val="56"/>
        </w:rPr>
        <w:t xml:space="preserve">PADDYKONECT</w:t>
      </w:r>
    </w:p>
    <w:p>
      <w:pPr>
        <w:spacing w:after="400"/>
        <w:jc w:val="center"/>
      </w:pPr>
      <w:r>
        <w:rPr>
          <w:b w:val="false"/>
          <w:bCs w:val="false"/>
          <w:i/>
          <w:iCs/>
          <w:color w:val="FF6B35"/>
          <w:sz w:val="26"/>
          <w:szCs w:val="26"/>
        </w:rPr>
        <w:t xml:space="preserve">Technical Architecture Plan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Backend &amp; Mobile System Design — No-Code Planning Document</w:t>
      </w:r>
    </w:p>
    <w:p>
      <w:pPr>
        <w:spacing w:after="1000"/>
        <w:jc w:val="center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Companion to the Paddykonect Business Concept &amp; Investor Document</w:t>
      </w:r>
    </w:p>
    <w:p>
      <w:pPr>
        <w:spacing w:after="120"/>
        <w:jc w:val="center"/>
      </w:pPr>
      <w:r>
        <w:rPr>
          <w:b w:val="false"/>
          <w:bCs w:val="false"/>
          <w:i/>
          <w:iCs/>
          <w:color w:val="6B6B6B"/>
          <w:sz w:val="18"/>
          <w:szCs w:val="18"/>
        </w:rPr>
        <w:t xml:space="preserve">Prepared as a working technical-planning document</w:t>
      </w:r>
    </w:p>
    <w:p>
      <w:r>
        <w:br w:type="page"/>
      </w:r>
    </w:p>
    <w:p>
      <w:pPr>
        <w:pStyle w:val="Heading1"/>
        <w:pBdr>
          <w:bottom w:val="single" w:color="FF6B35" w:sz="8" w:space="4"/>
        </w:pBdr>
        <w:spacing w:after="200" w:before="400"/>
      </w:pPr>
      <w:r>
        <w:rPr>
          <w:b/>
          <w:bCs/>
          <w:color w:val="1B1F3B"/>
          <w:sz w:val="30"/>
          <w:szCs w:val="30"/>
        </w:rPr>
        <w:t xml:space="preserve">1. Purpose &amp; Scope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This document lays out a recommended technical architecture for Paddykonect's backend and mobile applications. It is a planning and decision-making reference, not source code — it exists to align product, engineering and investors on how the system should be built before development starts.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The architecture is designed around the MVP defined in the business concept document: account creation, PadiFeed, Padi Board (create/browse/join hangouts), a first version of PadiRadar, RSVP and event chat, host moderation tools, reporting/blocking and a basic analytics dashboard — with a clear path to Padi Deals, creator profiles, community groups, verification, and eventually a sponsorship marketplace and paid experiences.</w:t>
      </w:r>
    </w:p>
    <w:p>
      <w:pPr>
        <w:pStyle w:val="Heading1"/>
        <w:pBdr>
          <w:bottom w:val="single" w:color="FF6B35" w:sz="8" w:space="4"/>
        </w:pBdr>
        <w:spacing w:after="200" w:before="400"/>
      </w:pPr>
      <w:r>
        <w:rPr>
          <w:b/>
          <w:bCs/>
          <w:color w:val="1B1F3B"/>
          <w:sz w:val="30"/>
          <w:szCs w:val="30"/>
        </w:rPr>
        <w:t xml:space="preserve">2. Architecture Overview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Paddykonect is organized into three tiers: the mobile apps, a modular backend API, and a data layer. Keeping the backend as a single, well-organized “modular monolith” at MVP stage — rather than splitting into many independent microservices from day one — is the recommended approach: it is faster to build and deploy with a small team, easier to debug, and can be split into separate services later, module by module, once specific parts (most likely PadiChat or PadiRadar) need to scale independently.</w:t>
      </w:r>
    </w:p>
    <w:p>
      <w:pPr>
        <w:spacing w:after="120" w:before="260"/>
      </w:pPr>
      <w:r>
        <w:rPr>
          <w:b/>
          <w:bCs/>
          <w:color w:val="FF6B35"/>
          <w:sz w:val="24"/>
          <w:szCs w:val="24"/>
        </w:rPr>
        <w:t xml:space="preserve">Tier 1 — Mobile apps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 single cross-platform codebase (React Native) targeting iOS and Android, rather than two separate native codebases. This halves the engineering surface area for a small team and is the standard choice for social/marketplace apps at MVP stage. Flutter is a reasonable alternative with similar trade-offs; the recommendation below explains why React Native is the better fit here specifically.</w:t>
      </w:r>
    </w:p>
    <w:p>
      <w:pPr>
        <w:spacing w:after="120" w:before="260"/>
      </w:pPr>
      <w:r>
        <w:rPr>
          <w:b/>
          <w:bCs/>
          <w:color w:val="FF6B35"/>
          <w:sz w:val="24"/>
          <w:szCs w:val="24"/>
        </w:rPr>
        <w:t xml:space="preserve">Tier 2 — Backend API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 modular backend exposing a REST (or GraphQL) API to the mobile apps, organized internally into the service modules listed in Section 4. A separate real-time layer handles PadiChat and live notifications over WebSockets, since chat has different scaling and latency needs than the rest of the API.</w:t>
      </w:r>
    </w:p>
    <w:p>
      <w:pPr>
        <w:spacing w:after="120" w:before="260"/>
      </w:pPr>
      <w:r>
        <w:rPr>
          <w:b/>
          <w:bCs/>
          <w:color w:val="FF6B35"/>
          <w:sz w:val="24"/>
          <w:szCs w:val="24"/>
        </w:rPr>
        <w:t xml:space="preserve">Tier 3 — Data &amp; storage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PostgreSQL as the system of record (with the PostGIS extension for PadiRadar's location queries), Redis for caching, session state and chat presence, and object storage with a CDN in front of it for photos, videos and stories on PadiFeed.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Sitting alongside these three tiers are third-party services the app depends on but does not build in-house: push notifications, SMS/OTP verification, payments, maps/geocoding and analytics — covered in Section 6.</w:t>
      </w:r>
    </w:p>
    <w:p>
      <w:pPr>
        <w:pStyle w:val="Heading1"/>
        <w:pBdr>
          <w:bottom w:val="single" w:color="FF6B35" w:sz="8" w:space="4"/>
        </w:pBdr>
        <w:spacing w:after="200" w:before="400"/>
      </w:pPr>
      <w:r>
        <w:rPr>
          <w:b/>
          <w:bCs/>
          <w:color w:val="1B1F3B"/>
          <w:sz w:val="30"/>
          <w:szCs w:val="30"/>
        </w:rPr>
        <w:t xml:space="preserve">3. Recommended Tech Stack</w:t>
      </w:r>
    </w:p>
    <w:tbl>
      <w:tblPr>
        <w:tblW w:type="dxa" w:w="9026"/>
        <w:tblBorders>
          <w:top w:val="single" w:color="D9D2C7" w:sz="4"/>
          <w:left w:val="single" w:color="D9D2C7" w:sz="4"/>
          <w:bottom w:val="single" w:color="D9D2C7" w:sz="4"/>
          <w:right w:val="single" w:color="D9D2C7" w:sz="4"/>
          <w:insideH w:val="single" w:color="D9D2C7" w:sz="4"/>
          <w:insideV w:val="single" w:color="D9D2C7" w:sz="4"/>
        </w:tblBorders>
      </w:tblPr>
      <w:tblGrid>
        <w:gridCol w:w="1805"/>
        <w:gridCol w:w="2708"/>
        <w:gridCol w:w="4513"/>
      </w:tblGrid>
      <w:tr>
        <w:trPr>
          <w:cantSplit/>
          <w:tblHeader/>
        </w:trPr>
        <w:tc>
          <w:tcPr>
            <w:tcW w:type="dxa" w:w="1805"/>
            <w:shd w:fill="FDEC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1F3B"/>
                <w:sz w:val="19"/>
                <w:szCs w:val="19"/>
              </w:rPr>
              <w:t xml:space="preserve">Layer</w:t>
            </w:r>
          </w:p>
        </w:tc>
        <w:tc>
          <w:tcPr>
            <w:tcW w:type="dxa" w:w="2708"/>
            <w:shd w:fill="FDEC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1F3B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4513"/>
            <w:shd w:fill="FDEC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1F3B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Mobile</w:t>
            </w:r>
          </w:p>
        </w:tc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Native (TypeScript)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codebase for iOS + Android; largest talent pool in Lagos; mature libraries for maps, media and chat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Node.js (NestJS) or alternatively Django/Python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NestJS gives structured, modular architecture out of the box — maps directly onto the service breakdown in Section 4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PostgreSQL + PostGIS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Relational integrity for users/events/RSVPs; PostGIS is the industry-standard extension for “nearby” queries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Cache &amp; real-time state</w:t>
            </w:r>
          </w:p>
        </w:tc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Redis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Session storage, rate limiting, chat presence, feed caching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Real-time messaging</w:t>
            </w:r>
          </w:p>
        </w:tc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WebSockets (Socket.IO) or a managed service (Pusher/Ably)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PadiChat and live notifications; a managed service trades cost for far less operational work early on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Media storage &amp; delivery</w:t>
            </w:r>
          </w:p>
        </w:tc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S3-compatible object storage + CDN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Cost-effective, scalable storage for PadiFeed photos/video with fast delivery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Search &amp; discovery</w:t>
            </w:r>
          </w:p>
        </w:tc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PostGIS geo-queries; add Elasticsearch later if free-text search becomes important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Avoids adding a search cluster before it's needed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Phone-number OTP + optional social login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Phone-first auth matches how Nigerian users already verify identity on other apps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Firebase Cloud Messaging (Android) + APNs (iOS), unified behind one service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Standard, free, well-documented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Payments (future)</w:t>
            </w:r>
          </w:p>
        </w:tc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Paystack or Flutterwave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Local-first providers with strong Nigerian card, bank transfer and USSD support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managed cloud (AWS or GCP) using managed Postgres/Redis rather than self-hosted databases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Removes database operations burden from a small team</w:t>
            </w:r>
          </w:p>
        </w:tc>
      </w:tr>
    </w:tbl>
    <w:p>
      <w:pPr>
        <w:spacing w:after="160"/>
      </w:pPr>
      <w:r>
        <w:rPr>
          <w:i/>
          <w:iCs/>
          <w:sz w:val="21"/>
          <w:szCs w:val="21"/>
        </w:rPr>
        <w:t xml:space="preserve">None of these choices are irreversible, but they are the combination most likely to let a small team ship the MVP quickly, keep hosting costs predictable, and hand off cleanly to additional engineers later.</w:t>
      </w:r>
    </w:p>
    <w:p>
      <w:pPr>
        <w:pStyle w:val="Heading1"/>
        <w:pBdr>
          <w:bottom w:val="single" w:color="FF6B35" w:sz="8" w:space="4"/>
        </w:pBdr>
        <w:spacing w:after="200" w:before="400"/>
      </w:pPr>
      <w:r>
        <w:rPr>
          <w:b/>
          <w:bCs/>
          <w:color w:val="1B1F3B"/>
          <w:sz w:val="30"/>
          <w:szCs w:val="30"/>
        </w:rPr>
        <w:t xml:space="preserve">4. Backend Service Breakdown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Each module below is a logical boundary inside the backend — not necessarily a separate deployed service at MVP stage.</w:t>
      </w:r>
    </w:p>
    <w:tbl>
      <w:tblPr>
        <w:tblW w:type="dxa" w:w="9026"/>
        <w:tblBorders>
          <w:top w:val="single" w:color="D9D2C7" w:sz="4"/>
          <w:left w:val="single" w:color="D9D2C7" w:sz="4"/>
          <w:bottom w:val="single" w:color="D9D2C7" w:sz="4"/>
          <w:right w:val="single" w:color="D9D2C7" w:sz="4"/>
          <w:insideH w:val="single" w:color="D9D2C7" w:sz="4"/>
          <w:insideV w:val="single" w:color="D9D2C7" w:sz="4"/>
        </w:tblBorders>
      </w:tblPr>
      <w:tblGrid>
        <w:gridCol w:w="2006"/>
        <w:gridCol w:w="4012"/>
        <w:gridCol w:w="3009"/>
      </w:tblGrid>
      <w:tr>
        <w:trPr>
          <w:cantSplit/>
          <w:tblHeader/>
        </w:trPr>
        <w:tc>
          <w:tcPr>
            <w:tcW w:type="dxa" w:w="2006"/>
            <w:shd w:fill="FDEC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1F3B"/>
                <w:sz w:val="19"/>
                <w:szCs w:val="19"/>
              </w:rPr>
              <w:t xml:space="preserve">Module</w:t>
            </w:r>
          </w:p>
        </w:tc>
        <w:tc>
          <w:tcPr>
            <w:tcW w:type="dxa" w:w="4012"/>
            <w:shd w:fill="FDEC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1F3B"/>
                <w:sz w:val="19"/>
                <w:szCs w:val="19"/>
              </w:rPr>
              <w:t xml:space="preserve">Owns</w:t>
            </w:r>
          </w:p>
        </w:tc>
        <w:tc>
          <w:tcPr>
            <w:tcW w:type="dxa" w:w="3009"/>
            <w:shd w:fill="FDEC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1F3B"/>
                <w:sz w:val="19"/>
                <w:szCs w:val="19"/>
              </w:rPr>
              <w:t xml:space="preserve">Paddykonect feature(s)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Identity</w:t>
            </w:r>
          </w:p>
        </w:tc>
        <w:tc>
          <w:tcPr>
            <w:tcW w:type="dxa" w:w="40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Signup, login, OTP verification, sessions</w:t>
            </w:r>
          </w:p>
        </w:tc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Account creation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Profile</w:t>
            </w:r>
          </w:p>
        </w:tc>
        <w:tc>
          <w:tcPr>
            <w:tcW w:type="dxa" w:w="40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 profile, preferences, badges</w:t>
            </w:r>
          </w:p>
        </w:tc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Padi Profile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Feed</w:t>
            </w:r>
          </w:p>
        </w:tc>
        <w:tc>
          <w:tcPr>
            <w:tcW w:type="dxa" w:w="40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Posts, stories, polls, reactions</w:t>
            </w:r>
          </w:p>
        </w:tc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PadiFeed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Discovery</w:t>
            </w:r>
          </w:p>
        </w:tc>
        <w:tc>
          <w:tcPr>
            <w:tcW w:type="dxa" w:w="40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Opt-in location, nearby-user queries</w:t>
            </w:r>
          </w:p>
        </w:tc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PadiRadar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Events</w:t>
            </w:r>
          </w:p>
        </w:tc>
        <w:tc>
          <w:tcPr>
            <w:tcW w:type="dxa" w:w="40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Hangout creation, RSVP, capacity, privacy</w:t>
            </w:r>
          </w:p>
        </w:tc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Padi Board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40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Guest approval, reminders, post-event feedback</w:t>
            </w:r>
          </w:p>
        </w:tc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Padi Host Tools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Messaging</w:t>
            </w:r>
          </w:p>
        </w:tc>
        <w:tc>
          <w:tcPr>
            <w:tcW w:type="dxa" w:w="40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1:1 and group chat, delivery, presence</w:t>
            </w:r>
          </w:p>
        </w:tc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PadiChat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Partnerships</w:t>
            </w:r>
          </w:p>
        </w:tc>
        <w:tc>
          <w:tcPr>
            <w:tcW w:type="dxa" w:w="40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Venue/brand offers, sponsorships</w:t>
            </w:r>
          </w:p>
        </w:tc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Padi Deals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Trust &amp; Safety</w:t>
            </w:r>
          </w:p>
        </w:tc>
        <w:tc>
          <w:tcPr>
            <w:tcW w:type="dxa" w:w="40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Reporting, blocking, verification, moderation queue</w:t>
            </w:r>
          </w:p>
        </w:tc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Padi Safe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0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Push/SMS/email orchestration across modules</w:t>
            </w:r>
          </w:p>
        </w:tc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Cross-cutting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&amp; Analytics</w:t>
            </w:r>
          </w:p>
        </w:tc>
        <w:tc>
          <w:tcPr>
            <w:tcW w:type="dxa" w:w="40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 dashboard, KPIs, moderation tools</w:t>
            </w:r>
          </w:p>
        </w:tc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 ops</w:t>
            </w:r>
          </w:p>
        </w:tc>
      </w:tr>
    </w:tbl>
    <w:p>
      <w:pPr>
        <w:pStyle w:val="Heading1"/>
        <w:pBdr>
          <w:bottom w:val="single" w:color="FF6B35" w:sz="8" w:space="4"/>
        </w:pBdr>
        <w:spacing w:after="200" w:before="400"/>
      </w:pPr>
      <w:r>
        <w:rPr>
          <w:b/>
          <w:bCs/>
          <w:color w:val="1B1F3B"/>
          <w:sz w:val="30"/>
          <w:szCs w:val="30"/>
        </w:rPr>
        <w:t xml:space="preserve">5. Data Model (High Level)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The core entities below capture the MVP data shape. Fields are illustrative, not a final schema.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User — phone number, verification status, auth credentials, role (member/host/admin).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Profile — user reference, display name, photo, interests, drink preferences, badges.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Post — author, media, caption, type (moment/story/poll), timestamps, visibility.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Event — host, title, description, location (geo point), time, capacity, privacy (public/private).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RSVP — event reference, user reference, status (requested/approved/declined/attended).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Conversation &amp; Message — participants, event/context reference, message body, delivery state.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Report — reporter, reported user/content, reason, status, moderator notes.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Venue &amp; Deal — partner business, offer details, redemption rules, validity window.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An entity-relationship diagram can be produced once the schema is finalized during implementation planning — useful at that point, but premature before the MVP feature set is locked.</w:t>
      </w:r>
    </w:p>
    <w:p>
      <w:pPr>
        <w:pStyle w:val="Heading1"/>
        <w:pBdr>
          <w:bottom w:val="single" w:color="FF6B35" w:sz="8" w:space="4"/>
        </w:pBdr>
        <w:spacing w:after="200" w:before="400"/>
      </w:pPr>
      <w:r>
        <w:rPr>
          <w:b/>
          <w:bCs/>
          <w:color w:val="1B1F3B"/>
          <w:sz w:val="30"/>
          <w:szCs w:val="30"/>
        </w:rPr>
        <w:t xml:space="preserve">6. Third-Party Integrations</w:t>
      </w:r>
    </w:p>
    <w:tbl>
      <w:tblPr>
        <w:tblW w:type="dxa" w:w="9026"/>
        <w:tblBorders>
          <w:top w:val="single" w:color="D9D2C7" w:sz="4"/>
          <w:left w:val="single" w:color="D9D2C7" w:sz="4"/>
          <w:bottom w:val="single" w:color="D9D2C7" w:sz="4"/>
          <w:right w:val="single" w:color="D9D2C7" w:sz="4"/>
          <w:insideH w:val="single" w:color="D9D2C7" w:sz="4"/>
          <w:insideV w:val="single" w:color="D9D2C7" w:sz="4"/>
        </w:tblBorders>
      </w:tblPr>
      <w:tblGrid>
        <w:gridCol w:w="2462"/>
        <w:gridCol w:w="2462"/>
        <w:gridCol w:w="4103"/>
      </w:tblGrid>
      <w:tr>
        <w:trPr>
          <w:cantSplit/>
          <w:tblHeader/>
        </w:trPr>
        <w:tc>
          <w:tcPr>
            <w:tcW w:type="dxa" w:w="2462"/>
            <w:shd w:fill="FDEC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1F3B"/>
                <w:sz w:val="19"/>
                <w:szCs w:val="19"/>
              </w:rPr>
              <w:t xml:space="preserve">Need</w:t>
            </w:r>
          </w:p>
        </w:tc>
        <w:tc>
          <w:tcPr>
            <w:tcW w:type="dxa" w:w="2462"/>
            <w:shd w:fill="FDEC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1F3B"/>
                <w:sz w:val="19"/>
                <w:szCs w:val="19"/>
              </w:rPr>
              <w:t xml:space="preserve">Service</w:t>
            </w:r>
          </w:p>
        </w:tc>
        <w:tc>
          <w:tcPr>
            <w:tcW w:type="dxa" w:w="4103"/>
            <w:shd w:fill="FDEC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1F3B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SMS / OTP</w:t>
            </w:r>
          </w:p>
        </w:tc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Termii or Twilio Verify</w:t>
            </w:r>
          </w:p>
        </w:tc>
        <w:tc>
          <w:tcPr>
            <w:tcW w:type="dxa" w:w="41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Termii has strong Nigerian delivery rates and local pricing</w:t>
            </w:r>
          </w:p>
        </w:tc>
      </w:tr>
      <w:tr>
        <w:trPr>
          <w:cantSplit/>
        </w:trP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41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Free, covers both platforms behind one integration</w:t>
            </w:r>
          </w:p>
        </w:tc>
      </w:tr>
      <w:tr>
        <w:trPr>
          <w:cantSplit/>
        </w:trP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Paystack / Flutterwave</w:t>
            </w:r>
          </w:p>
        </w:tc>
        <w:tc>
          <w:tcPr>
            <w:tcW w:type="dxa" w:w="41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Needed only once paid experiences or premium tiers launch</w:t>
            </w:r>
          </w:p>
        </w:tc>
      </w:tr>
      <w:tr>
        <w:trPr>
          <w:cantSplit/>
        </w:trP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Maps &amp; geocoding</w:t>
            </w:r>
          </w:p>
        </w:tc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Google Maps Platform or Mapbox</w:t>
            </w:r>
          </w:p>
        </w:tc>
        <w:tc>
          <w:tcPr>
            <w:tcW w:type="dxa" w:w="41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Powers PadiRadar and event location pickers</w:t>
            </w:r>
          </w:p>
        </w:tc>
      </w:tr>
      <w:tr>
        <w:trPr>
          <w:cantSplit/>
        </w:trP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Object storage &amp; CDN</w:t>
            </w:r>
          </w:p>
        </w:tc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AWS S3 + CloudFront, or Cloudflare R2</w:t>
            </w:r>
          </w:p>
        </w:tc>
        <w:tc>
          <w:tcPr>
            <w:tcW w:type="dxa" w:w="41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R2 has no egress fees, worth comparing at scale</w:t>
            </w:r>
          </w:p>
        </w:tc>
      </w:tr>
      <w:tr>
        <w:trPr>
          <w:cantSplit/>
        </w:trP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 analytics</w:t>
            </w:r>
          </w:p>
        </w:tc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Mixpanel or Amplitude</w:t>
            </w:r>
          </w:p>
        </w:tc>
        <w:tc>
          <w:tcPr>
            <w:tcW w:type="dxa" w:w="41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Tracks the activation/retention KPIs from the business document</w:t>
            </w:r>
          </w:p>
        </w:tc>
      </w:tr>
      <w:tr>
        <w:trPr>
          <w:cantSplit/>
        </w:trP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Error monitoring</w:t>
            </w:r>
          </w:p>
        </w:tc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Sentry</w:t>
            </w:r>
          </w:p>
        </w:tc>
        <w:tc>
          <w:tcPr>
            <w:tcW w:type="dxa" w:w="41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Mobile + backend crash and exception tracking</w:t>
            </w:r>
          </w:p>
        </w:tc>
      </w:tr>
    </w:tbl>
    <w:p>
      <w:pPr>
        <w:pStyle w:val="Heading1"/>
        <w:pBdr>
          <w:bottom w:val="single" w:color="FF6B35" w:sz="8" w:space="4"/>
        </w:pBdr>
        <w:spacing w:after="200" w:before="400"/>
      </w:pPr>
      <w:r>
        <w:rPr>
          <w:b/>
          <w:bCs/>
          <w:color w:val="1B1F3B"/>
          <w:sz w:val="30"/>
          <w:szCs w:val="30"/>
        </w:rPr>
        <w:t xml:space="preserve">7. Security, Privacy &amp; Compliance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These requirements directly implement the Padi Safe principles from the business document at the infrastructure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Encrypt data in transit (TLS everywhere) and at rest (managed database encryption).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Store only approximate location by default; precise location is opt-in and short-lived.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Hash and salt any stored credentials; never store raw OTP codes.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Rate-limit authentication and messaging endpoints to reduce abuse and spam.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Build the moderation/report queue as a first-class admin feature, not an afterthought.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Review Nigeria Data Protection Regulation (NDPR) requirements for user data handling and consent before launch.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Define a data-retention and account-deletion policy from the start — harder to retrofit later.</w:t>
      </w:r>
    </w:p>
    <w:p>
      <w:pPr>
        <w:pStyle w:val="Heading1"/>
        <w:pBdr>
          <w:bottom w:val="single" w:color="FF6B35" w:sz="8" w:space="4"/>
        </w:pBdr>
        <w:spacing w:after="200" w:before="400"/>
      </w:pPr>
      <w:r>
        <w:rPr>
          <w:b/>
          <w:bCs/>
          <w:color w:val="1B1F3B"/>
          <w:sz w:val="30"/>
          <w:szCs w:val="30"/>
        </w:rPr>
        <w:t xml:space="preserve">8. DevOps &amp;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Three environments: development, staging and production, kept as close to identical configuration as possible.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CI/CD via GitHub Actions: automated tests and linting on every pull request, automated deploy to staging on merge.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Infrastructure as code (e.g. Terraform) once the team grows past one or two engineers — manual setup is fine for the very first MVP deploy.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Centralized logging and metrics (e.g. Grafana + Prometheus, or a hosted equivalent) from day one — debugging production issues without this is very difficult.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Automated database backups with a tested restore process before real user data exists.</w:t>
      </w:r>
    </w:p>
    <w:p>
      <w:pPr>
        <w:pStyle w:val="Heading1"/>
        <w:pBdr>
          <w:bottom w:val="single" w:color="FF6B35" w:sz="8" w:space="4"/>
        </w:pBdr>
        <w:spacing w:after="200" w:before="400"/>
      </w:pPr>
      <w:r>
        <w:rPr>
          <w:b/>
          <w:bCs/>
          <w:color w:val="1B1F3B"/>
          <w:sz w:val="30"/>
          <w:szCs w:val="30"/>
        </w:rPr>
        <w:t xml:space="preserve">9. Build Sequencing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Mapped directly onto the MVP roadmap in the business document, in technical build order.</w:t>
      </w:r>
    </w:p>
    <w:p>
      <w:pPr>
        <w:spacing w:after="120" w:before="260"/>
      </w:pPr>
      <w:r>
        <w:rPr>
          <w:b/>
          <w:bCs/>
          <w:color w:val="FF6B35"/>
          <w:sz w:val="24"/>
          <w:szCs w:val="24"/>
        </w:rPr>
        <w:t xml:space="preserve">Phase 1 — MVP foundation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Identity module (OTP signup/login) and Profile module.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Feed module (PadiFeed) — basic post creation and viewing before stories/polls.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Events module (Padi Board) — create/browse/join, capacity limits.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Discovery module (PadiRadar) — opt-in visibility and basic nearby queries.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Messaging module (PadiChat) — event-scoped chat first, general DMs second.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Trust &amp; Safety basics — report and block.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Admin dashboard — just enough to moderate reports and see basic usage counts.</w:t>
      </w:r>
    </w:p>
    <w:p>
      <w:pPr>
        <w:spacing w:after="120" w:before="260"/>
      </w:pPr>
      <w:r>
        <w:rPr>
          <w:b/>
          <w:bCs/>
          <w:color w:val="FF6B35"/>
          <w:sz w:val="24"/>
          <w:szCs w:val="24"/>
        </w:rPr>
        <w:t xml:space="preserve">Phase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PadiRadar refinements (better ranking, privacy controls).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Padi Deals — venue/brand offer listings.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Creator profiles and community groups.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Verification and host-reputation layers.</w:t>
      </w:r>
    </w:p>
    <w:p>
      <w:pPr>
        <w:spacing w:after="120" w:before="260"/>
      </w:pPr>
      <w:r>
        <w:rPr>
          <w:b/>
          <w:bCs/>
          <w:color w:val="FF6B35"/>
          <w:sz w:val="24"/>
          <w:szCs w:val="24"/>
        </w:rPr>
        <w:t xml:space="preserve">Phase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Sponsorship marketplace and paid experiences.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Personalization (recommendation logic for feed/discovery).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Advanced host analytics.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Multi-city infrastructure (region-aware data and discovery).</w:t>
      </w:r>
    </w:p>
    <w:p>
      <w:pPr>
        <w:pStyle w:val="Heading1"/>
        <w:pBdr>
          <w:bottom w:val="single" w:color="FF6B35" w:sz="8" w:space="4"/>
        </w:pBdr>
        <w:spacing w:after="200" w:before="400"/>
      </w:pPr>
      <w:r>
        <w:rPr>
          <w:b/>
          <w:bCs/>
          <w:color w:val="1B1F3B"/>
          <w:sz w:val="30"/>
          <w:szCs w:val="30"/>
        </w:rPr>
        <w:t xml:space="preserve">10. Team &amp; Resourcing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An indicative team shape for building and shipping the Phase 1 MVP: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 product-minded mobile engineer (React Native).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1–2 backend engineers (API, database, integrations).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 engineer covering DevOps/infrastructure part-time, or a backend engineer wearing that hat early 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 designer covering the mobile UI and the visual identity from the Brand Identity section.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Founder/product owner defining scope, priorities and talking to early users.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This is a planning assumption to size the effort, not a hiring plan or budget — actual team shape should follow from real development quotes and available runway.</w:t>
      </w:r>
    </w:p>
    <w:p>
      <w:pPr>
        <w:pStyle w:val="Heading1"/>
        <w:pBdr>
          <w:bottom w:val="single" w:color="FF6B35" w:sz="8" w:space="4"/>
        </w:pBdr>
        <w:spacing w:after="200" w:before="400"/>
      </w:pPr>
      <w:r>
        <w:rPr>
          <w:b/>
          <w:bCs/>
          <w:color w:val="1B1F3B"/>
          <w:sz w:val="30"/>
          <w:szCs w:val="30"/>
        </w:rPr>
        <w:t xml:space="preserve">11. Key Technical Risks &amp; Mitigations</w:t>
      </w:r>
    </w:p>
    <w:tbl>
      <w:tblPr>
        <w:tblW w:type="dxa" w:w="9026"/>
        <w:tblBorders>
          <w:top w:val="single" w:color="D9D2C7" w:sz="4"/>
          <w:left w:val="single" w:color="D9D2C7" w:sz="4"/>
          <w:bottom w:val="single" w:color="D9D2C7" w:sz="4"/>
          <w:right w:val="single" w:color="D9D2C7" w:sz="4"/>
          <w:insideH w:val="single" w:color="D9D2C7" w:sz="4"/>
          <w:insideV w:val="single" w:color="D9D2C7" w:sz="4"/>
        </w:tblBorders>
      </w:tblPr>
      <w:tblGrid>
        <w:gridCol w:w="3009"/>
        <w:gridCol w:w="6017"/>
      </w:tblGrid>
      <w:tr>
        <w:trPr>
          <w:cantSplit/>
          <w:tblHeader/>
        </w:trPr>
        <w:tc>
          <w:tcPr>
            <w:tcW w:type="dxa" w:w="3009"/>
            <w:shd w:fill="FDEC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1F3B"/>
                <w:sz w:val="19"/>
                <w:szCs w:val="19"/>
              </w:rPr>
              <w:t xml:space="preserve">Risk</w:t>
            </w:r>
          </w:p>
        </w:tc>
        <w:tc>
          <w:tcPr>
            <w:tcW w:type="dxa" w:w="6017"/>
            <w:shd w:fill="FDEC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1F3B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Over-building before validation</w:t>
            </w:r>
          </w:p>
        </w:tc>
        <w:tc>
          <w:tcPr>
            <w:tcW w:type="dxa" w:w="60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Keep Phase 1 strictly to the MVP list in Section 9; resist adding modules early.</w:t>
            </w:r>
          </w:p>
        </w:tc>
      </w:tr>
      <w:tr>
        <w:trPr>
          <w:cantSplit/>
        </w:trPr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Real-time chat scaling issues</w:t>
            </w:r>
          </w:p>
        </w:tc>
        <w:tc>
          <w:tcPr>
            <w:tcW w:type="dxa" w:w="60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Start with a managed WebSocket provider; only self-host once volume justifies it.</w:t>
            </w:r>
          </w:p>
        </w:tc>
      </w:tr>
      <w:tr>
        <w:trPr>
          <w:cantSplit/>
        </w:trPr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Location privacy mistakes</w:t>
            </w:r>
          </w:p>
        </w:tc>
        <w:tc>
          <w:tcPr>
            <w:tcW w:type="dxa" w:w="60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to approximate location everywhere; treat precise location as an explicit, revocable opt-in.</w:t>
            </w:r>
          </w:p>
        </w:tc>
      </w:tr>
      <w:tr>
        <w:trPr>
          <w:cantSplit/>
        </w:trPr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Vendor lock-in</w:t>
            </w:r>
          </w:p>
        </w:tc>
        <w:tc>
          <w:tcPr>
            <w:tcW w:type="dxa" w:w="60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Prefer providers with standard export paths (Postgres, S3-compatible storage) over proprietary formats.</w:t>
            </w:r>
          </w:p>
        </w:tc>
      </w:tr>
      <w:tr>
        <w:trPr>
          <w:cantSplit/>
        </w:trPr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Small-team key-person risk</w:t>
            </w:r>
          </w:p>
        </w:tc>
        <w:tc>
          <w:tcPr>
            <w:tcW w:type="dxa" w:w="60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Document architecture decisions (this document is the start) and keep infrastructure as code once feasible.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2026-09-17T10:58:49.645Z</dcterms:created>
  <dcterms:modified xsi:type="dcterms:W3CDTF">2026-09-17T10:58:49.645Z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