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0"/>
        <w:gridCol w:w="8420"/>
        <w:tblGridChange w:id="0">
          <w:tblGrid>
            <w:gridCol w:w="3100"/>
            <w:gridCol w:w="84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c2b45" w:val="clear"/>
            <w:tcMar>
              <w:top w:w="200.0" w:type="dxa"/>
              <w:left w:w="220.0" w:type="dxa"/>
              <w:bottom w:w="24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9956b"/>
                <w:sz w:val="16"/>
                <w:szCs w:val="16"/>
                <w:rtl w:val="0"/>
              </w:rPr>
              <w:t xml:space="preserve">paddy.iyer@gmail.com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linkedin.com/in/paddyiyer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github.com/paddyriyer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San Francisco Bay Area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TECHNICAL SKILLS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60" w:line="3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Spark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Hive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Hadoop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Databricks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Delta 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Snowflake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Redshift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dbt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Airflow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Dataswarm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AWS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Azure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GCP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Terraform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Kubernetes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Python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SQL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Scala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LLM/RAG Pipelines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Claude Code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 Agents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Prompt Eng.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LangChain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GitHub Copilot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MLflow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Diff. Privacy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Unity Catalog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 Mesh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Data Engineering Cert.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UC Santa Cruz, 2013–14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B.S. Electrical Engineering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Sardar Patel College of Eng.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Diploma, Electronics &amp; Comms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Technical Board, Tamil Nadu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PUBLICATIONS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Cloud Computing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All About Big 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Future Trends in BI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AI &amp; THOUGHT LEADERSHIP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160+ articles on 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Claude Code skill development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Vibe coding methodology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AI agent architecture writing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OPEN-SOURCE &amp; COMMUNITY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Interview Studio — free Data &amp; AI Engineering prep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22 data-model deep-dives + 1,500+ questions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In-browser SQL / Python (WASM), no backend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 Consultant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LinkedIn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Dec 2017 – Apr 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GDPR compliance — PII encryption into Dali storage (Hive, Python, Pig)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Lead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Sep 2015 – Sep 2017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80+ Dataswarm pipelines for petabyte-scale ads; Cross Device Insights, Outcomes Datamart + Norms DB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GREE International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2014 – 2015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PII masking, Vertica→Redshift, 1,000+ table optimization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Chegg Inc.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Oct 2013 – Apr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Technical Director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Model 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2011 – 2013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Life Sciences BI, cloud migration, ETL modularization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CallidusCloud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2005 – 2011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Incentive comp analytics, BusinessObjects XI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DW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Hewlett Packard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2001 – 2005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Enterprise DW + 8 datamarts; ETL 18→3 hrs; 40–50% sales lift via clickstream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dfbf4" w:val="clear"/>
            <w:tcMar>
              <w:top w:w="200.0" w:type="dxa"/>
              <w:left w:w="28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30" w:lineRule="auto"/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color w:val="1c2b45"/>
                <w:sz w:val="56"/>
                <w:szCs w:val="56"/>
                <w:rtl w:val="0"/>
              </w:rPr>
              <w:t xml:space="preserve">Paddy 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DATA ENGINEERING LEADER · STRATEGIC DATA ARCHITECT · AI &amp; PRIVACY ENGINEERING · AI INNOVATOR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6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7354d"/>
                <w:sz w:val="18"/>
                <w:szCs w:val="18"/>
                <w:rtl w:val="0"/>
              </w:rPr>
              <w:t xml:space="preserve">15+ years driving enterprise data transformation for global tech leaders across cloud/SaaS, fintech, gaming, and consumer platforms. Expert in cloud-native architectures, real-time analytics, privacy-first pipelines, and AI-augmented data operations. Proven builder of high-trust, high-performance data teams at petabyte scale. Published writer and thought leader on data architecture, AI agents, and the intersection of ancient wisdom with modern technology.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100" w:before="60" w:line="3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Modern Data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Privacy-First Design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Consent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AI Agents &amp; LLM Pipelines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Prompt Engineering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Governance (C1–C5)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Petabyte-Scale Systems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Global Team Leadership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Storytelling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FEATURED EXPERIENCE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Data Engineer — Privacy &amp; Consent Infrastructure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Apr 2024 –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60" w:line="235" w:lineRule="auto"/>
              <w:rPr/>
            </w:pPr>
            <w:r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Drove the data engineering execution of a company-critical migration moving 1,100+ advertising data assets from broad-access to consent-first architecture. Landed 800+ changes across four privacy domains. What I actually got paid for: finding the failures nobody's tooling could see</w:t>
            </w:r>
          </w:p>
          <w:p w:rsidR="00000000" w:rsidDel="00000000" w:rsidP="00000000" w:rsidRDefault="00000000" w:rsidRPr="00000000" w14:paraId="00000042">
            <w:pPr>
              <w:keepNext w:val="1"/>
              <w:shd w:fill="f5efe3" w:val="clear"/>
              <w:spacing w:after="60" w:before="90" w:lineRule="auto"/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33445f"/>
                <w:sz w:val="19"/>
                <w:szCs w:val="19"/>
                <w:rtl w:val="0"/>
              </w:rPr>
              <w:t xml:space="preserve"> Finding the Failures the Tooling Couldn't See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Proved the pre-deployment validation stack was structurally blind — per-table permission checks returned PASS for tables that didn't exist, and never modeled the query-level enforcement that actually runs in production. Diffs cleared every gate, then broke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Reduced a class of migration failures to a mechanical, offline-checkable invariant: the source namespace was encoded in the old table name all along. Verified against the full asset inventory — 81% of migrations required a namespace change, not a name change. Made the correct transform regex-provable instead of lookup-dependent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Built the hard-gate guard system that turned each production incident into a pre-land block. Every gate in the playbook traces to a specific postmortem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Separated silent failure from loud failure — showed that the “obvious fix” for a resolution error swapped a paging error for a silently skipped subquery. Blocked it as strictly worse, and documented why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Enforced scope integrity across a large migration batch: privacy annotations treated as invariants, not redundant syntax. Blocked collateral edits that removed safety controls to satisfy a linter</w:t>
            </w:r>
          </w:p>
          <w:p w:rsidR="00000000" w:rsidDel="00000000" w:rsidP="00000000" w:rsidRDefault="00000000" w:rsidRPr="00000000" w14:paraId="00000042">
            <w:pPr>
              <w:keepNext w:val="1"/>
              <w:shd w:fill="f5efe3" w:val="clear"/>
              <w:spacing w:after="60" w:before="90" w:lineRule="auto"/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33445f"/>
                <w:sz w:val="19"/>
                <w:szCs w:val="19"/>
                <w:rtl w:val="0"/>
              </w:rPr>
              <w:t xml:space="preserve"> Force Multiplication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Co-built an AI coding skill encoding the full remediation methodology — new engineers productive in 2 days instead of 2 weeks; per-asset cycle time down 3–5×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Sustained 800+ landed changes solo — throughput normally requiring 3–4 engineers</w:t>
            </w:r>
          </w:p>
          <w:p w:rsidR="00000000" w:rsidDel="00000000" w:rsidP="00000000" w:rsidRDefault="00000000" w:rsidRPr="00000000" w14:paraId="00000042">
            <w:pPr>
              <w:keepNext w:val="1"/>
              <w:shd w:fill="f5efe3" w:val="clear"/>
              <w:spacing w:after="60" w:before="90" w:lineRule="auto"/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33445f"/>
                <w:sz w:val="19"/>
                <w:szCs w:val="19"/>
                <w:rtl w:val="0"/>
              </w:rPr>
              <w:t xml:space="preserve"> Incident Leadership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Owned response for 5 production failures including 2 SEV3s (one at $5.27M/day). Fix-forward, zero reverts, grants coordinated across 6+ owning teams. Director-level escalations closed with written RCA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Triage rule I enforced: reason from the runtime error, never from a plausible mechanism. When your analysis contradicts the pipeline owner's, you're missing a layer</w:t>
            </w:r>
          </w:p>
          <w:p w:rsidR="00000000" w:rsidDel="00000000" w:rsidP="00000000" w:rsidRDefault="00000000" w:rsidRPr="00000000" w14:paraId="00000053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Lead Data Architect — Partner Data Engineering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Jan 2022 – Jan 2024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VMware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Strategic architect for VMware's Partner Data Platform — unifying fragmented partner data into a single governed analytics layer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Designed and built the Partner Data Platform from the ground up, unifying partner data from 10+ disparate sources into a single governed analytics layer — eliminating silos that had blocked cross-functional decision-making for years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Implemented VMware's first structured data governance for partner data (classification, lineage, policy enforcement) plus a self-service data catalog — cutting tribal-knowledge reliance by 60% and ad-hoc request volume by ~40%, and achieving audit-ready status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Pioneered an AI copilot for retrieval optimization, coding, and governance — one of VMware's earliest LLM-assisted data engineering deployments, reducing routine query development time by ~30%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Achieved 40%+ Spark processing improvements via broadcast joins, caching, and skew management — bringing SLA-critical reports inside their delivery windows for the first time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Engaged director/VP-level stakeholders to define a unified data vision, securing budget and headcount that grew the team from 3 to 8 engineers during the engagement</w:t>
            </w:r>
          </w:p>
          <w:p w:rsidR="00000000" w:rsidDel="00000000" w:rsidP="00000000" w:rsidRDefault="00000000" w:rsidRPr="00000000" w14:paraId="0000005C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Senior Consultant — Ads, Commerce &amp; Privacy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Jul 2019 – Dec 2021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Led high-impact projects across Meta's Ads, Commerce, and Privacy teams, architecting secure, scalable, and compliant data platforms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Led privacy remediation across 1,200+ SMB 2.0, Customer Journey, and BPO tables — resolving critical compliance-risk design flaws and establishing remediation patterns later adopted at scale in the Safe Ads program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Spearheaded migration of 1,000+ Hive pipelines to Spark, automating ~70% of conversion tasks — compressing a projected 12-month migration to under 6 months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Owned the SMB funnel redesign, improving query performance 3x and scaling the pipeline from thousands to tens of thousands of small-business advertisers without infrastructure changes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Enhanced Hive anonymization processes with privacy engineers, enabling ads and commerce data products to pass privacy audits without manual intervention — cutting audit preparation effort by ~60%</w:t>
            </w:r>
          </w:p>
        </w:tc>
      </w:tr>
    </w:tbl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7354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360" w:top="360" w:left="360" w:right="3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180" w:hanging="160"/>
      </w:pPr>
      <w:rPr>
        <w:color w:val="c9956b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▪"/>
      <w:lvlJc w:val="left"/>
      <w:pPr>
        <w:ind w:left="230" w:hanging="200"/>
      </w:pPr>
      <w:rPr>
        <w:color w:val="c9956b"/>
        <w:sz w:val="14"/>
        <w:szCs w:val="1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7354d"/>
        <w:sz w:val="18"/>
        <w:szCs w:val="1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7354d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