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8420"/>
      </w:tblGrid>
      <w:t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B45" w:val="clear"/>
            <w:tcMar>
              <w:top w:type="dxa" w:w="200"/>
              <w:left w:type="dxa" w:w="220"/>
              <w:bottom w:type="dxa" w:w="240"/>
              <w:right w:type="dxa" w:w="200"/>
            </w:tcMar>
            <w:vAlign w:val="top"/>
          </w:tcPr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CONTACT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paddy.iyer@gmail.com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linkedin.com/in/paddyiyer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paddyspeaks.com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github.com/paddyriyer</w:t>
            </w:r>
          </w:p>
          <w:p>
            <w:pPr>
              <w:spacing w:after="8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San Francisco Bay Area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TECHNICAL SKILLS</w:t>
            </w:r>
          </w:p>
          <w:p>
            <w:pPr>
              <w:spacing w:after="60" w:line="300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Spark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Hive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Hadoop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Databricks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Delta Lake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Snowflake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Redshift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dbt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Airflow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Dataswarm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AWS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Azure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GCP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Terraform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Kubernetes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Python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SQL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Scala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LLM/RAG Pipelines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Claude Code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AI Agents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Prompt Eng.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LangChain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GitHub Copilot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MLflow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Diff. Privacy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Unity Catalog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 Mesh 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EDUCATION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Data Engineering Cert.</w:t>
            </w:r>
          </w:p>
          <w:p>
            <w:pPr>
              <w:spacing w:after="7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UC Santa Cruz, 2013–14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B.S. Electrical Engineering</w:t>
            </w:r>
          </w:p>
          <w:p>
            <w:pPr>
              <w:spacing w:after="7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Sardar Patel College of Eng.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Diploma, Electronics &amp; Comms</w:t>
            </w:r>
          </w:p>
          <w:p>
            <w:pPr>
              <w:spacing w:after="8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Technical Board, Tamil Nadu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PUBLICATIONS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Cloud Computing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All About Big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Future Trends in BI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AI &amp; THOUGHT LEADERSHIP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160+ articles on paddyspeaks.com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Claude Code skill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Vibe coding methodology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AI agent architecture writing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OPEN-SOURCE &amp; COMMUNITY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Interview Studio — free Data &amp; AI Engineering prep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22 data-model deep-dives + 1,500+ questions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In-browser SQL / Python (WASM), no backend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EARLIER CAREER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Engineer Consultant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LinkedIn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Dec 2017 – Apr 2018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GDPR compliance — PII encryption into Dali storage (Hive, Python, Pig)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Data Engineer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Meta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Sep 2015 – Sep 2017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80+ Dataswarm pipelines for petabyte-scale ads; Cross Device Insights, Outcomes Datamart + Norms DB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Engineer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GREE International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2014 – 2015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PII masking, Vertica→Redshift, 1,000+ table optimization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Chegg Inc.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Oct 2013 – Apr 2014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Technical Director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Model N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2011 – 2013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Life Sciences BI, cloud migration, ETL modularization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CallidusCloud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2005 – 2011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Incentive comp analytics, BusinessObjects XI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DW 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Hewlett Packard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2001 – 2005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Enterprise DW + 8 datamarts; ETL 18→3 hrs; 40–50% sales lift via clickstream</w:t>
            </w:r>
          </w:p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BF4" w:val="clear"/>
            <w:tcMar>
              <w:top w:type="dxa" w:w="200"/>
              <w:left w:type="dxa" w:w="280"/>
              <w:bottom w:type="dxa" w:w="200"/>
              <w:right w:type="dxa" w:w="160"/>
            </w:tcMar>
            <w:vAlign w:val="top"/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1C2B45"/>
                <w:sz w:val="56"/>
                <w:szCs w:val="56"/>
              </w:rPr>
              <w:t xml:space="preserve">Paddy Iyer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40"/>
                <w:sz w:val="16"/>
                <w:szCs w:val="16"/>
              </w:rPr>
              <w:t xml:space="preserve">DATA ENGINEERING LEADER · STRATEGIC DATA ARCHITECT · AI &amp; PRIVACY ENGINEERING · AI INNOVATOR</w:t>
            </w:r>
          </w:p>
          <w:p>
            <w:pPr>
              <w:spacing w:after="60" w:line="25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</w:p>
          <w:p>
            <w:pPr>
              <w:spacing w:after="100" w:before="60" w:line="320"/>
            </w:pP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Modern Data Architecture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Privacy-First Design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Consent Architecture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AI Agents &amp; LLM Pipelines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Prompt Engineering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Data Governance (C1–C5)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Petabyte-Scale Systems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Global Team Leadership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Data Storytelling </w:t>
            </w:r>
          </w:p>
          <w:p>
            <w:pPr>
              <w:pBdr>
                <w:bottom w:val="single" w:color="C29345" w:sz="6" w:space="3"/>
              </w:pBdr>
              <w:spacing w:after="90" w:before="220"/>
            </w:pPr>
            <w:r>
              <w:rPr>
                <w:rFonts w:ascii="Calibri" w:cs="Calibri" w:eastAsia="Calibri" w:hAnsi="Calibri"/>
                <w:b/>
                <w:bCs/>
                <w:color w:val="C29345"/>
                <w:spacing w:val="50"/>
                <w:sz w:val="19"/>
                <w:szCs w:val="19"/>
              </w:rPr>
              <w:t xml:space="preserve">FEATURED EXPERIENCE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Senior Consultant — Privacy &amp; Consent Architecture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Apr 2024 – Present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Meta</w:t>
            </w:r>
            <w:r>
              <w:rPr>
                <w:rFonts w:ascii="Calibri" w:cs="Calibri" w:eastAsia="Calibri" w:hAnsi="Calibri"/>
                <w:color w:val="C9956B"/>
                <w:sz w:val="19"/>
                <w:szCs w:val="19"/>
              </w:rPr>
              <w:t xml:space="preserve">  |  Safe Ads Program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Spearheading Meta's transformation from broad data access to consent-first advertising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Operated within a 20-person cross-functional team facing a 6-month regulatory deadline to remediate 4,000+ tables/assets — personally executed the end-to-end 8-stage remediation pipeline (classification → lineage → topology sort → pipeline dev → diff → deploy → compliance → migration) across 700+ assets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Achieved 100% high-risk asset remediation for AAP and Consent Revocation — directly unblocking Meta's Safe Ads launch timeline and eliminating a critical-path blocker for the broader 4,000+ asset program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Contributed to AI-accelerated surge-readiness that achieved ~98% remediation burndown, delivered ~21 engineering-year-equivalent impact, and pulled delivery forward ~6 months — meeting a regulatory deadline manual methods alone could not have hit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Landed 300+ code changes and 1,000+ tasks; established a triage framework that cut per-asset cycle time from ~1.86 → ~0.53 weeks (71.5% reduction), absorbing expanding scope without schedule slippage or added headcount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Championed the pivot from manual to AI-assisted remediation and built the team's “Claude Code Skill” (YAML + Markdown) standardizing how 20 engineers create, debug, and test remediation pipelines — codifying best practices that eliminated the classification errors and rework that had threatened the timeline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Closed privacy gaps across Dataswarm pipelines spanning 3+ producer teams — resolving multi-producer DAG dependencies and preventing compliance audit failures that would have delayed the program</w:t>
            </w:r>
          </w:p>
          <w:p>
            <w:pPr>
              <w:pBdr>
                <w:bottom w:val="single" w:color="C29345" w:sz="6" w:space="3"/>
              </w:pBdr>
              <w:spacing w:after="90" w:before="220"/>
            </w:pPr>
            <w:r>
              <w:rPr>
                <w:rFonts w:ascii="Calibri" w:cs="Calibri" w:eastAsia="Calibri" w:hAnsi="Calibri"/>
                <w:b/>
                <w:bCs/>
                <w:color w:val="C29345"/>
                <w:spacing w:val="50"/>
                <w:sz w:val="19"/>
                <w:szCs w:val="19"/>
              </w:rPr>
              <w:t xml:space="preserve">EARLIER CAREER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Lead Data Architect — Partner Data Engineering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Jan 2022 – Jan 2024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VMware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Strategic architect for VMware's Partner Data Platform — unifying fragmented partner data into a single governed analytics layer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Senior Consultant — Ads, Commerce &amp; Privacy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Jul 2019 – Dec 2021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Meta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Led high-impact projects across Meta's Ads, Commerce, and Privacy teams, architecting secure, scalable, and compliant data platforms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sectPr>
      <w:pgSz w:w="12240" w:h="15840" w:orient="portrait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0"/>
      </w:pPr>
      <w:rPr>
        <w:color w:val="C9956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2026-06-03T21:06:07.448Z</dcterms:created>
  <dcterms:modified xsi:type="dcterms:W3CDTF">2026-06-03T21:06:07.448Z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