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5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100"/>
        <w:gridCol w:w="8420"/>
      </w:tblGrid>
      <w:tr>
        <w:tc>
          <w:tcPr>
            <w:tcW w:type="dxa" w:w="3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B45" w:val="clear"/>
            <w:tcMar>
              <w:top w:type="dxa" w:w="200"/>
              <w:left w:type="dxa" w:w="220"/>
              <w:bottom w:type="dxa" w:w="240"/>
              <w:right w:type="dxa" w:w="200"/>
            </w:tcMar>
            <w:vAlign w:val="top"/>
          </w:tcPr>
          <w:p>
            <w:pPr>
              <w:pBdr>
                <w:bottom w:val="single" w:color="55678A" w:sz="4" w:space="3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C9956B"/>
                <w:spacing w:val="50"/>
                <w:sz w:val="16"/>
                <w:szCs w:val="16"/>
              </w:rPr>
              <w:t xml:space="preserve">CONTACT</w:t>
            </w:r>
          </w:p>
          <w:p>
            <w:pPr>
              <w:spacing w:after="40" w:line="2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9956B"/>
                <w:sz w:val="16"/>
                <w:szCs w:val="16"/>
              </w:rPr>
              <w:t xml:space="preserve">[ add email — see note ]</w:t>
            </w:r>
          </w:p>
          <w:p>
            <w:pPr>
              <w:spacing w:after="4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CE1EA"/>
                <w:sz w:val="16"/>
                <w:szCs w:val="16"/>
              </w:rPr>
              <w:t xml:space="preserve">linkedin.com/in/paddyiyer</w:t>
            </w:r>
          </w:p>
          <w:p>
            <w:pPr>
              <w:spacing w:after="4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CE1EA"/>
                <w:sz w:val="16"/>
                <w:szCs w:val="16"/>
              </w:rPr>
              <w:t xml:space="preserve">paddyspeaks.com</w:t>
            </w:r>
          </w:p>
          <w:p>
            <w:pPr>
              <w:spacing w:after="4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CE1EA"/>
                <w:sz w:val="16"/>
                <w:szCs w:val="16"/>
              </w:rPr>
              <w:t xml:space="preserve">github.com/paddyriyer</w:t>
            </w:r>
          </w:p>
          <w:p>
            <w:pPr>
              <w:spacing w:after="8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CE1EA"/>
                <w:sz w:val="16"/>
                <w:szCs w:val="16"/>
              </w:rPr>
              <w:t xml:space="preserve">San Francisco Bay Area</w:t>
            </w:r>
          </w:p>
          <w:p>
            <w:pPr>
              <w:pBdr>
                <w:bottom w:val="single" w:color="55678A" w:sz="4" w:space="3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C9956B"/>
                <w:spacing w:val="50"/>
                <w:sz w:val="16"/>
                <w:szCs w:val="16"/>
              </w:rPr>
              <w:t xml:space="preserve">TECHNICAL SKILLS</w:t>
            </w:r>
          </w:p>
          <w:p>
            <w:pPr>
              <w:spacing w:after="60" w:line="300"/>
            </w:pP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Spark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Hive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Hadoop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Databricks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Delta Lake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Snowflake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Redshift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dbt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Airflow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Dataswarm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AWS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Azure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GCP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Terraform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Kubernetes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Python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SQL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Scala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LLM/RAG Pipelines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Claude Code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AI Agents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Prompt Eng.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LangChain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GitHub Copilot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MLflow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Diff. Privacy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Unity Catalog 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  </w:t>
            </w:r>
            <w:r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</w:rPr>
              <w:t xml:space="preserve"> Data Mesh </w:t>
            </w:r>
          </w:p>
          <w:p>
            <w:pPr>
              <w:pBdr>
                <w:bottom w:val="single" w:color="55678A" w:sz="4" w:space="3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C9956B"/>
                <w:spacing w:val="50"/>
                <w:sz w:val="16"/>
                <w:szCs w:val="16"/>
              </w:rPr>
              <w:t xml:space="preserve">EDUCATION</w:t>
            </w:r>
          </w:p>
          <w:p>
            <w:pPr>
              <w:spacing w:after="40" w:line="2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Data Engineering Cert.</w:t>
            </w:r>
          </w:p>
          <w:p>
            <w:pPr>
              <w:spacing w:after="7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4A1B8"/>
                <w:sz w:val="16"/>
                <w:szCs w:val="16"/>
              </w:rPr>
              <w:t xml:space="preserve">UC Santa Cruz, 2013–14</w:t>
            </w:r>
          </w:p>
          <w:p>
            <w:pPr>
              <w:spacing w:after="40" w:line="2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B.S. Electrical Engineering</w:t>
            </w:r>
          </w:p>
          <w:p>
            <w:pPr>
              <w:spacing w:after="7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4A1B8"/>
                <w:sz w:val="16"/>
                <w:szCs w:val="16"/>
              </w:rPr>
              <w:t xml:space="preserve">Sardar Patel College of Eng.</w:t>
            </w:r>
          </w:p>
          <w:p>
            <w:pPr>
              <w:spacing w:after="40" w:line="2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Diploma, Electronics &amp; Comms</w:t>
            </w:r>
          </w:p>
          <w:p>
            <w:pPr>
              <w:spacing w:after="8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4A1B8"/>
                <w:sz w:val="16"/>
                <w:szCs w:val="16"/>
              </w:rPr>
              <w:t xml:space="preserve">Technical Board, Tamil Nadu</w:t>
            </w:r>
          </w:p>
          <w:p>
            <w:pPr>
              <w:pBdr>
                <w:bottom w:val="single" w:color="55678A" w:sz="4" w:space="3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C9956B"/>
                <w:spacing w:val="50"/>
                <w:sz w:val="16"/>
                <w:szCs w:val="16"/>
              </w:rPr>
              <w:t xml:space="preserve">PUBLICATIONS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line="218"/>
            </w:pPr>
            <w:r>
              <w:rPr>
                <w:rFonts w:ascii="Calibri" w:cs="Calibri" w:eastAsia="Calibri" w:hAnsi="Calibri"/>
                <w:color w:val="DCE1EA"/>
                <w:sz w:val="16"/>
                <w:szCs w:val="16"/>
              </w:rPr>
              <w:t xml:space="preserve">Cloud Computing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line="218"/>
            </w:pPr>
            <w:r>
              <w:rPr>
                <w:rFonts w:ascii="Calibri" w:cs="Calibri" w:eastAsia="Calibri" w:hAnsi="Calibri"/>
                <w:color w:val="DCE1EA"/>
                <w:sz w:val="16"/>
                <w:szCs w:val="16"/>
              </w:rPr>
              <w:t xml:space="preserve">All About Big Data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line="218"/>
            </w:pPr>
            <w:r>
              <w:rPr>
                <w:rFonts w:ascii="Calibri" w:cs="Calibri" w:eastAsia="Calibri" w:hAnsi="Calibri"/>
                <w:color w:val="DCE1EA"/>
                <w:sz w:val="16"/>
                <w:szCs w:val="16"/>
              </w:rPr>
              <w:t xml:space="preserve">Future Trends in BI</w:t>
            </w:r>
          </w:p>
          <w:p>
            <w:pPr>
              <w:pBdr>
                <w:bottom w:val="single" w:color="55678A" w:sz="4" w:space="3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C9956B"/>
                <w:spacing w:val="50"/>
                <w:sz w:val="16"/>
                <w:szCs w:val="16"/>
              </w:rPr>
              <w:t xml:space="preserve">AI &amp; THOUGHT LEADERSHIP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line="218"/>
            </w:pPr>
            <w:r>
              <w:rPr>
                <w:rFonts w:ascii="Calibri" w:cs="Calibri" w:eastAsia="Calibri" w:hAnsi="Calibri"/>
                <w:color w:val="DCE1EA"/>
                <w:sz w:val="16"/>
                <w:szCs w:val="16"/>
              </w:rPr>
              <w:t xml:space="preserve">160+ articles on paddyspeaks.com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line="218"/>
            </w:pPr>
            <w:r>
              <w:rPr>
                <w:rFonts w:ascii="Calibri" w:cs="Calibri" w:eastAsia="Calibri" w:hAnsi="Calibri"/>
                <w:color w:val="DCE1EA"/>
                <w:sz w:val="16"/>
                <w:szCs w:val="16"/>
              </w:rPr>
              <w:t xml:space="preserve">Claude Code skill development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line="218"/>
            </w:pPr>
            <w:r>
              <w:rPr>
                <w:rFonts w:ascii="Calibri" w:cs="Calibri" w:eastAsia="Calibri" w:hAnsi="Calibri"/>
                <w:color w:val="DCE1EA"/>
                <w:sz w:val="16"/>
                <w:szCs w:val="16"/>
              </w:rPr>
              <w:t xml:space="preserve">Vibe coding methodology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line="218"/>
            </w:pPr>
            <w:r>
              <w:rPr>
                <w:rFonts w:ascii="Calibri" w:cs="Calibri" w:eastAsia="Calibri" w:hAnsi="Calibri"/>
                <w:color w:val="DCE1EA"/>
                <w:sz w:val="16"/>
                <w:szCs w:val="16"/>
              </w:rPr>
              <w:t xml:space="preserve">AI agent architecture writing</w:t>
            </w:r>
          </w:p>
          <w:p>
            <w:pPr>
              <w:pBdr>
                <w:bottom w:val="single" w:color="55678A" w:sz="4" w:space="3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C9956B"/>
                <w:spacing w:val="50"/>
                <w:sz w:val="16"/>
                <w:szCs w:val="16"/>
              </w:rPr>
              <w:t xml:space="preserve">OPEN-SOURCE &amp; COMMUNITY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line="218"/>
            </w:pPr>
            <w:r>
              <w:rPr>
                <w:rFonts w:ascii="Calibri" w:cs="Calibri" w:eastAsia="Calibri" w:hAnsi="Calibri"/>
                <w:color w:val="DCE1EA"/>
                <w:sz w:val="16"/>
                <w:szCs w:val="16"/>
              </w:rPr>
              <w:t xml:space="preserve">Interview Studio — free Data &amp; AI Engineering prep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line="218"/>
            </w:pPr>
            <w:r>
              <w:rPr>
                <w:rFonts w:ascii="Calibri" w:cs="Calibri" w:eastAsia="Calibri" w:hAnsi="Calibri"/>
                <w:color w:val="DCE1EA"/>
                <w:sz w:val="16"/>
                <w:szCs w:val="16"/>
              </w:rPr>
              <w:t xml:space="preserve">22 data-model deep-dives + 1,500+ questions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line="218"/>
            </w:pPr>
            <w:r>
              <w:rPr>
                <w:rFonts w:ascii="Calibri" w:cs="Calibri" w:eastAsia="Calibri" w:hAnsi="Calibri"/>
                <w:color w:val="DCE1EA"/>
                <w:sz w:val="16"/>
                <w:szCs w:val="16"/>
              </w:rPr>
              <w:t xml:space="preserve">In-browser SQL / Python (WASM), no backend</w:t>
            </w:r>
          </w:p>
          <w:p>
            <w:pPr>
              <w:pBdr>
                <w:bottom w:val="single" w:color="55678A" w:sz="4" w:space="3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C9956B"/>
                <w:spacing w:val="50"/>
                <w:sz w:val="16"/>
                <w:szCs w:val="16"/>
              </w:rPr>
              <w:t xml:space="preserve">EARLIER CAREER</w:t>
            </w:r>
          </w:p>
          <w:p>
            <w:pPr>
              <w:spacing w:after="6" w:before="9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Data Engineer Consultant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C9956B"/>
                <w:sz w:val="16"/>
                <w:szCs w:val="16"/>
              </w:rPr>
              <w:t xml:space="preserve">LinkedIn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94A1B8"/>
                <w:sz w:val="15"/>
                <w:szCs w:val="15"/>
              </w:rPr>
              <w:t xml:space="preserve">Dec 2017 – Apr 2018</w:t>
            </w:r>
          </w:p>
          <w:p>
            <w:pPr>
              <w:spacing w:after="40" w:line="215"/>
            </w:pPr>
            <w:r>
              <w:rPr>
                <w:rFonts w:ascii="Calibri" w:cs="Calibri" w:eastAsia="Calibri" w:hAnsi="Calibri"/>
                <w:color w:val="DCE1EA"/>
                <w:sz w:val="15"/>
                <w:szCs w:val="15"/>
              </w:rPr>
              <w:t xml:space="preserve">GDPR compliance — PII encryption into Dali storage (Hive, Python, Pig)</w:t>
            </w:r>
          </w:p>
          <w:p>
            <w:pPr>
              <w:spacing w:after="6" w:before="9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Lead Data Engineer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C9956B"/>
                <w:sz w:val="16"/>
                <w:szCs w:val="16"/>
              </w:rPr>
              <w:t xml:space="preserve">Meta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94A1B8"/>
                <w:sz w:val="15"/>
                <w:szCs w:val="15"/>
              </w:rPr>
              <w:t xml:space="preserve">Sep 2015 – Sep 2017</w:t>
            </w:r>
          </w:p>
          <w:p>
            <w:pPr>
              <w:spacing w:after="40" w:line="215"/>
            </w:pPr>
            <w:r>
              <w:rPr>
                <w:rFonts w:ascii="Calibri" w:cs="Calibri" w:eastAsia="Calibri" w:hAnsi="Calibri"/>
                <w:color w:val="DCE1EA"/>
                <w:sz w:val="15"/>
                <w:szCs w:val="15"/>
              </w:rPr>
              <w:t xml:space="preserve">80+ Dataswarm pipelines for petabyte-scale ads; Cross Device Insights, Outcomes Datamart + Norms DB</w:t>
            </w:r>
          </w:p>
          <w:p>
            <w:pPr>
              <w:spacing w:after="6" w:before="9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Data Engineer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C9956B"/>
                <w:sz w:val="16"/>
                <w:szCs w:val="16"/>
              </w:rPr>
              <w:t xml:space="preserve">GREE International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94A1B8"/>
                <w:sz w:val="15"/>
                <w:szCs w:val="15"/>
              </w:rPr>
              <w:t xml:space="preserve">2014 – 2015</w:t>
            </w:r>
          </w:p>
          <w:p>
            <w:pPr>
              <w:spacing w:after="40" w:line="215"/>
            </w:pPr>
            <w:r>
              <w:rPr>
                <w:rFonts w:ascii="Calibri" w:cs="Calibri" w:eastAsia="Calibri" w:hAnsi="Calibri"/>
                <w:color w:val="DCE1EA"/>
                <w:sz w:val="15"/>
                <w:szCs w:val="15"/>
              </w:rPr>
              <w:t xml:space="preserve">PII masking, Vertica→Redshift, 1,000+ table optimization</w:t>
            </w:r>
          </w:p>
          <w:p>
            <w:pPr>
              <w:spacing w:after="6" w:before="9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Data Architect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C9956B"/>
                <w:sz w:val="16"/>
                <w:szCs w:val="16"/>
              </w:rPr>
              <w:t xml:space="preserve">Chegg Inc.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94A1B8"/>
                <w:sz w:val="15"/>
                <w:szCs w:val="15"/>
              </w:rPr>
              <w:t xml:space="preserve">Oct 2013 – Apr 2014</w:t>
            </w:r>
          </w:p>
          <w:p>
            <w:pPr>
              <w:spacing w:after="6" w:before="9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Technical Director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C9956B"/>
                <w:sz w:val="16"/>
                <w:szCs w:val="16"/>
              </w:rPr>
              <w:t xml:space="preserve">Model N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94A1B8"/>
                <w:sz w:val="15"/>
                <w:szCs w:val="15"/>
              </w:rPr>
              <w:t xml:space="preserve">2011 – 2013</w:t>
            </w:r>
          </w:p>
          <w:p>
            <w:pPr>
              <w:spacing w:after="40" w:line="215"/>
            </w:pPr>
            <w:r>
              <w:rPr>
                <w:rFonts w:ascii="Calibri" w:cs="Calibri" w:eastAsia="Calibri" w:hAnsi="Calibri"/>
                <w:color w:val="DCE1EA"/>
                <w:sz w:val="15"/>
                <w:szCs w:val="15"/>
              </w:rPr>
              <w:t xml:space="preserve">Life Sciences BI, cloud migration, ETL modularization</w:t>
            </w:r>
          </w:p>
          <w:p>
            <w:pPr>
              <w:spacing w:after="6" w:before="9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Architect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C9956B"/>
                <w:sz w:val="16"/>
                <w:szCs w:val="16"/>
              </w:rPr>
              <w:t xml:space="preserve">CallidusCloud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94A1B8"/>
                <w:sz w:val="15"/>
                <w:szCs w:val="15"/>
              </w:rPr>
              <w:t xml:space="preserve">2005 – 2011</w:t>
            </w:r>
          </w:p>
          <w:p>
            <w:pPr>
              <w:spacing w:after="40" w:line="215"/>
            </w:pPr>
            <w:r>
              <w:rPr>
                <w:rFonts w:ascii="Calibri" w:cs="Calibri" w:eastAsia="Calibri" w:hAnsi="Calibri"/>
                <w:color w:val="DCE1EA"/>
                <w:sz w:val="15"/>
                <w:szCs w:val="15"/>
              </w:rPr>
              <w:t xml:space="preserve">Incentive comp analytics, BusinessObjects XI</w:t>
            </w:r>
          </w:p>
          <w:p>
            <w:pPr>
              <w:spacing w:after="6" w:before="9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DW Architect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C9956B"/>
                <w:sz w:val="16"/>
                <w:szCs w:val="16"/>
              </w:rPr>
              <w:t xml:space="preserve">Hewlett Packard</w:t>
            </w:r>
          </w:p>
          <w:p>
            <w:pPr>
              <w:spacing w:after="6"/>
            </w:pPr>
            <w:r>
              <w:rPr>
                <w:rFonts w:ascii="Calibri" w:cs="Calibri" w:eastAsia="Calibri" w:hAnsi="Calibri"/>
                <w:color w:val="94A1B8"/>
                <w:sz w:val="15"/>
                <w:szCs w:val="15"/>
              </w:rPr>
              <w:t xml:space="preserve">2001 – 2005</w:t>
            </w:r>
          </w:p>
          <w:p>
            <w:pPr>
              <w:spacing w:after="40" w:line="215"/>
            </w:pPr>
            <w:r>
              <w:rPr>
                <w:rFonts w:ascii="Calibri" w:cs="Calibri" w:eastAsia="Calibri" w:hAnsi="Calibri"/>
                <w:color w:val="DCE1EA"/>
                <w:sz w:val="15"/>
                <w:szCs w:val="15"/>
              </w:rPr>
              <w:t xml:space="preserve">Enterprise DW + 8 datamarts; ETL 18→3 hrs; 40–50% sales lift via clickstream</w:t>
            </w:r>
          </w:p>
        </w:tc>
        <w:tc>
          <w:tcPr>
            <w:tcW w:type="dxa" w:w="8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BF4" w:val="clear"/>
            <w:tcMar>
              <w:top w:type="dxa" w:w="200"/>
              <w:left w:type="dxa" w:w="280"/>
              <w:bottom w:type="dxa" w:w="200"/>
              <w:right w:type="dxa" w:w="160"/>
            </w:tcMar>
            <w:vAlign w:val="top"/>
          </w:tcPr>
          <w:p>
            <w:pPr>
              <w:spacing w:after="30"/>
            </w:pPr>
            <w:r>
              <w:rPr>
                <w:rFonts w:ascii="Georgia" w:cs="Georgia" w:eastAsia="Georgia" w:hAnsi="Georgia"/>
                <w:b/>
                <w:bCs/>
                <w:color w:val="1C2B45"/>
                <w:sz w:val="56"/>
                <w:szCs w:val="56"/>
              </w:rPr>
              <w:t xml:space="preserve">Paddy Iyer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C9956B"/>
                <w:spacing w:val="40"/>
                <w:sz w:val="16"/>
                <w:szCs w:val="16"/>
              </w:rPr>
              <w:t xml:space="preserve">DATA ENGINEERING LEADER · STRATEGIC DATA ARCHITECT · AI &amp; PRIVACY ENGINEERING · AI INNOVATOR</w:t>
            </w:r>
          </w:p>
          <w:p>
            <w:pPr>
              <w:spacing w:after="60" w:line="25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15+ years driving enterprise data transformation for global tech leaders across cloud/SaaS, fintech, gaming, and consumer platforms. Expert in cloud-native architectures, real-time analytics, privacy-first pipelines, and AI-augmented data operations. Proven builder of high-trust, high-performance data teams at petabyte scale. Published writer and thought leader on data architecture, AI agents, and the intersection of ancient wisdom with modern technology.</w:t>
            </w:r>
          </w:p>
          <w:p>
            <w:pPr>
              <w:spacing w:after="100" w:before="60" w:line="320"/>
            </w:pPr>
            <w:r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</w:rPr>
              <w:t xml:space="preserve"> Modern Data Architecture 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</w:t>
            </w:r>
            <w:r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</w:rPr>
              <w:t xml:space="preserve"> Privacy-First Design 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</w:t>
            </w:r>
            <w:r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</w:rPr>
              <w:t xml:space="preserve"> Consent Architecture 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</w:t>
            </w:r>
            <w:r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</w:rPr>
              <w:t xml:space="preserve"> AI Agents &amp; LLM Pipelines 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</w:t>
            </w:r>
            <w:r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</w:rPr>
              <w:t xml:space="preserve"> Prompt Engineering 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</w:t>
            </w:r>
            <w:r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</w:rPr>
              <w:t xml:space="preserve"> Data Governance (C1–C5) 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</w:t>
            </w:r>
            <w:r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</w:rPr>
              <w:t xml:space="preserve"> Petabyte-Scale Systems 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</w:t>
            </w:r>
            <w:r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</w:rPr>
              <w:t xml:space="preserve"> Global Team Leadership 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</w:t>
            </w:r>
            <w:r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</w:rPr>
              <w:t xml:space="preserve"> Data Storytelling </w:t>
            </w:r>
          </w:p>
          <w:p>
            <w:pPr>
              <w:pBdr>
                <w:bottom w:val="single" w:color="C29345" w:sz="6" w:space="3"/>
              </w:pBdr>
              <w:spacing w:after="90" w:before="220"/>
            </w:pPr>
            <w:r>
              <w:rPr>
                <w:rFonts w:ascii="Calibri" w:cs="Calibri" w:eastAsia="Calibri" w:hAnsi="Calibri"/>
                <w:b/>
                <w:bCs/>
                <w:color w:val="C29345"/>
                <w:spacing w:val="50"/>
                <w:sz w:val="19"/>
                <w:szCs w:val="19"/>
              </w:rPr>
              <w:t xml:space="preserve">FEATURED EXPERIENCE</w:t>
            </w:r>
          </w:p>
          <w:p>
            <w:pPr>
              <w:keepNext/>
              <w:tabs>
                <w:tab w:val="right" w:pos="8150"/>
              </w:tabs>
              <w:spacing w:after="10" w:before="150"/>
            </w:pPr>
            <w:r>
              <w:rPr>
                <w:rFonts w:ascii="Calibri" w:cs="Calibri" w:eastAsia="Calibri" w:hAnsi="Calibri"/>
                <w:b/>
                <w:bCs/>
                <w:color w:val="1C2B45"/>
                <w:sz w:val="23"/>
                <w:szCs w:val="23"/>
              </w:rPr>
              <w:t xml:space="preserve">Senior Consultant — Privacy &amp; Consent Architecture</w:t>
            </w:r>
            <w:r>
              <w:rPr>
                <w:rFonts w:ascii="Calibri" w:cs="Calibri" w:eastAsia="Calibri" w:hAnsi="Calibri"/>
                <w:i/>
                <w:iCs/>
                <w:color w:val="8A8273"/>
                <w:sz w:val="18"/>
                <w:szCs w:val="18"/>
              </w:rPr>
              <w:t xml:space="preserve">	Apr 2024 – Present</w:t>
            </w:r>
          </w:p>
          <w:p>
            <w:pPr>
              <w:keepNext/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C9956B"/>
                <w:sz w:val="19"/>
                <w:szCs w:val="19"/>
              </w:rPr>
              <w:t xml:space="preserve">Meta</w:t>
            </w:r>
            <w:r>
              <w:rPr>
                <w:rFonts w:ascii="Calibri" w:cs="Calibri" w:eastAsia="Calibri" w:hAnsi="Calibri"/>
                <w:color w:val="C9956B"/>
                <w:sz w:val="19"/>
                <w:szCs w:val="19"/>
              </w:rPr>
              <w:t xml:space="preserve">  |  Safe Ads Program</w:t>
            </w:r>
          </w:p>
          <w:p>
            <w:pPr>
              <w:spacing w:after="60" w:line="235"/>
            </w:pPr>
            <w:r>
              <w:rPr>
                <w:rFonts w:ascii="Calibri" w:cs="Calibri" w:eastAsia="Calibri" w:hAnsi="Calibri"/>
                <w:i/>
                <w:iCs/>
                <w:color w:val="8A8273"/>
                <w:sz w:val="18"/>
                <w:szCs w:val="18"/>
              </w:rPr>
              <w:t xml:space="preserve">Spearheading Meta's transformation from broad data access to consent-first advertising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Operated within a 20-person cross-functional team facing a 6-month regulatory deadline to remediate 4,000+ tables/assets — personally executed the end-to-end 8-stage remediation pipeline (classification → lineage → topology sort → pipeline dev → diff → deploy → compliance → migration) across 700+ assets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Achieved 100% high-risk asset remediation for AAP and Consent Revocation — directly unblocking Meta's Safe Ads launch timeline and eliminating a critical-path blocker for the broader 4,000+ asset program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Contributed to AI-accelerated surge-readiness that achieved ~98% remediation burndown, delivered ~21 engineering-year-equivalent impact, and pulled delivery forward ~6 months — meeting a regulatory deadline manual methods alone could not have hit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Landed 300+ code changes and 1,000+ tasks; established a triage framework that cut per-asset cycle time from ~1.86 → ~0.53 weeks (71.5% reduction), absorbing expanding scope without schedule slippage or added headcount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Championed the pivot from manual to AI-assisted remediation and built the team's “Claude Code Skill” (YAML + Markdown) standardizing how 20 engineers create, debug, and test remediation pipelines — codifying best practices that eliminated the classification errors and rework that had threatened the timeline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Closed privacy gaps across Dataswarm pipelines spanning 3+ producer teams — resolving multi-producer DAG dependencies and preventing compliance audit failures that would have delayed the program</w:t>
            </w:r>
          </w:p>
          <w:p>
            <w:pPr>
              <w:pBdr>
                <w:bottom w:val="single" w:color="C29345" w:sz="6" w:space="3"/>
              </w:pBdr>
              <w:spacing w:after="90" w:before="220"/>
            </w:pPr>
            <w:r>
              <w:rPr>
                <w:rFonts w:ascii="Calibri" w:cs="Calibri" w:eastAsia="Calibri" w:hAnsi="Calibri"/>
                <w:b/>
                <w:bCs/>
                <w:color w:val="C29345"/>
                <w:spacing w:val="50"/>
                <w:sz w:val="19"/>
                <w:szCs w:val="19"/>
              </w:rPr>
              <w:t xml:space="preserve">EARLIER CAREER</w:t>
            </w:r>
          </w:p>
          <w:p>
            <w:pPr>
              <w:keepNext/>
              <w:tabs>
                <w:tab w:val="right" w:pos="8150"/>
              </w:tabs>
              <w:spacing w:after="10" w:before="150"/>
            </w:pPr>
            <w:r>
              <w:rPr>
                <w:rFonts w:ascii="Calibri" w:cs="Calibri" w:eastAsia="Calibri" w:hAnsi="Calibri"/>
                <w:b/>
                <w:bCs/>
                <w:color w:val="1C2B45"/>
                <w:sz w:val="23"/>
                <w:szCs w:val="23"/>
              </w:rPr>
              <w:t xml:space="preserve">Lead Data Architect — Partner Data Engineering</w:t>
            </w:r>
            <w:r>
              <w:rPr>
                <w:rFonts w:ascii="Calibri" w:cs="Calibri" w:eastAsia="Calibri" w:hAnsi="Calibri"/>
                <w:i/>
                <w:iCs/>
                <w:color w:val="8A8273"/>
                <w:sz w:val="18"/>
                <w:szCs w:val="18"/>
              </w:rPr>
              <w:t xml:space="preserve">	Jan 2022 – Jan 2024</w:t>
            </w:r>
          </w:p>
          <w:p>
            <w:pPr>
              <w:keepNext/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C9956B"/>
                <w:sz w:val="19"/>
                <w:szCs w:val="19"/>
              </w:rPr>
              <w:t xml:space="preserve">VMware</w:t>
            </w:r>
          </w:p>
          <w:p>
            <w:pPr>
              <w:spacing w:after="60" w:line="235"/>
            </w:pPr>
            <w:r>
              <w:rPr>
                <w:rFonts w:ascii="Calibri" w:cs="Calibri" w:eastAsia="Calibri" w:hAnsi="Calibri"/>
                <w:i/>
                <w:iCs/>
                <w:color w:val="8A8273"/>
                <w:sz w:val="18"/>
                <w:szCs w:val="18"/>
              </w:rPr>
              <w:t xml:space="preserve">Strategic architect for VMware's Partner Data Platform — unifying fragmented partner data into a single governed analytics layer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Designed and built the Partner Data Platform from the ground up, unifying partner data from 10+ disparate sources into a single governed analytics layer — eliminating silos that had blocked cross-functional decision-making for years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Implemented VMware's first structured data governance for partner data (classification, lineage, policy enforcement) plus a self-service data catalog — cutting tribal-knowledge reliance by 60% and ad-hoc request volume by ~40%, and achieving audit-ready status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Pioneered an AI copilot for retrieval optimization, coding, and governance — one of VMware's earliest LLM-assisted data engineering deployments, reducing routine query development time by ~30%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Achieved 40%+ Spark processing improvements via broadcast joins, caching, and skew management — bringing SLA-critical reports inside their delivery windows for the first time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Engaged director/VP-level stakeholders to define a unified data vision, securing budget and headcount that grew the team from 3 to 8 engineers during the engagement</w:t>
            </w:r>
          </w:p>
          <w:p>
            <w:pPr>
              <w:keepNext/>
              <w:tabs>
                <w:tab w:val="right" w:pos="8150"/>
              </w:tabs>
              <w:spacing w:after="10" w:before="150"/>
            </w:pPr>
            <w:r>
              <w:rPr>
                <w:rFonts w:ascii="Calibri" w:cs="Calibri" w:eastAsia="Calibri" w:hAnsi="Calibri"/>
                <w:b/>
                <w:bCs/>
                <w:color w:val="1C2B45"/>
                <w:sz w:val="23"/>
                <w:szCs w:val="23"/>
              </w:rPr>
              <w:t xml:space="preserve">Senior Consultant — Ads, Commerce &amp; Privacy</w:t>
            </w:r>
            <w:r>
              <w:rPr>
                <w:rFonts w:ascii="Calibri" w:cs="Calibri" w:eastAsia="Calibri" w:hAnsi="Calibri"/>
                <w:i/>
                <w:iCs/>
                <w:color w:val="8A8273"/>
                <w:sz w:val="18"/>
                <w:szCs w:val="18"/>
              </w:rPr>
              <w:t xml:space="preserve">	Jul 2019 – Dec 2021</w:t>
            </w:r>
          </w:p>
          <w:p>
            <w:pPr>
              <w:keepNext/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C9956B"/>
                <w:sz w:val="19"/>
                <w:szCs w:val="19"/>
              </w:rPr>
              <w:t xml:space="preserve">Meta</w:t>
            </w:r>
          </w:p>
          <w:p>
            <w:pPr>
              <w:spacing w:after="60" w:line="235"/>
            </w:pPr>
            <w:r>
              <w:rPr>
                <w:rFonts w:ascii="Calibri" w:cs="Calibri" w:eastAsia="Calibri" w:hAnsi="Calibri"/>
                <w:i/>
                <w:iCs/>
                <w:color w:val="8A8273"/>
                <w:sz w:val="18"/>
                <w:szCs w:val="18"/>
              </w:rPr>
              <w:t xml:space="preserve">Led high-impact projects across Meta's Ads, Commerce, and Privacy teams, architecting secure, scalable, and compliant data platforms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Led privacy remediation across 1,200+ SMB 2.0, Customer Journey, and BPO tables — resolving critical compliance-risk design flaws and establishing remediation patterns later adopted at scale in the Safe Ads program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Spearheaded migration of 1,000+ Hive pipelines to Spark, automating ~70% of conversion tasks — compressing a projected 12-month migration to under 6 months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Owned the SMB funnel redesign, improving query performance 3x and scaling the pipeline from thousands to tens of thousands of small-business advertisers without infrastructure changes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6" w:line="240"/>
            </w:pPr>
            <w:r>
              <w:rPr>
                <w:rFonts w:ascii="Calibri" w:cs="Calibri" w:eastAsia="Calibri" w:hAnsi="Calibri"/>
                <w:color w:val="27354D"/>
                <w:sz w:val="18"/>
                <w:szCs w:val="18"/>
              </w:rPr>
              <w:t xml:space="preserve">Enhanced Hive anonymization processes with privacy engineers, enabling ads and commerce data products to pass privacy audits without manual intervention — cutting audit preparation effort by ~60%</w:t>
            </w:r>
          </w:p>
        </w:tc>
      </w:tr>
    </w:tbl>
    <w:sectPr>
      <w:pgSz w:w="12240" w:h="15840" w:orient="portrait"/>
      <w:pgMar w:top="360" w:right="360" w:bottom="360" w:left="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230" w:hanging="200"/>
      </w:pPr>
      <w:rPr>
        <w:color w:val="C9956B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0"/>
      </w:pPr>
      <w:rPr>
        <w:color w:val="C9956B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7354D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2026-06-03T21:06:07.448Z</dcterms:created>
  <dcterms:modified xsi:type="dcterms:W3CDTF">2026-06-03T21:06:07.448Z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