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5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00"/>
        <w:gridCol w:w="8420"/>
        <w:tblGridChange w:id="0">
          <w:tblGrid>
            <w:gridCol w:w="3100"/>
            <w:gridCol w:w="842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1c2b45" w:val="clear"/>
            <w:tcMar>
              <w:top w:w="200.0" w:type="dxa"/>
              <w:left w:w="220.0" w:type="dxa"/>
              <w:bottom w:w="240.0" w:type="dxa"/>
              <w:right w:w="2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CONTACT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c9956b"/>
                <w:sz w:val="16"/>
                <w:szCs w:val="16"/>
                <w:rtl w:val="0"/>
              </w:rPr>
              <w:t xml:space="preserve">paddy.iyer@gmail.com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linkedin.com/in/paddyiyer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github.com/paddyriyer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dce1ea"/>
                <w:sz w:val="16"/>
                <w:szCs w:val="16"/>
                <w:rtl w:val="0"/>
              </w:rPr>
              <w:t xml:space="preserve">San Francisco Bay Area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TECHNICAL SKILLS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3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Spark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Hive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Hadoop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Databricks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Delta 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Snowflake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Redshift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dbt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Airflow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Dataswarm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AWS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Azure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GCP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Terraform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Kubernetes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Python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SQL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Scala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LLM/RAG Pipelines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Claude Code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AI Agents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Prompt Eng.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LangChain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GitHub Copilot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MLflow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Diff. Privacy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Unity Catalog </w:t>
            </w:r>
            <w:r w:rsidDel="00000000" w:rsidR="00000000" w:rsidRPr="00000000">
              <w:rPr>
                <w:rFonts w:ascii="Calibri" w:cs="Calibri" w:eastAsia="Calibri" w:hAnsi="Calibri"/>
                <w:sz w:val="15"/>
                <w:szCs w:val="15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shd w:fill="2b3d5c" w:val="clear"/>
                <w:rtl w:val="0"/>
              </w:rPr>
              <w:t xml:space="preserve"> Data Mesh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Data Engineering Cert.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UC Santa Cruz, 2013–14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B.S. Electrical Engineering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spacing w:after="7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Sardar Patel College of Eng.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F">
            <w:pPr>
              <w:spacing w:after="4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i w:val="0"/>
                <w:iCs w:val="0"/>
                <w:color w:val="ffffff"/>
                <w:sz w:val="16"/>
                <w:szCs w:val="16"/>
                <w:rtl w:val="0"/>
              </w:rPr>
              <w:t xml:space="preserve">Diploma, Electronics &amp; Comms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after="80" w:lin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color w:val="94a1b8"/>
                <w:sz w:val="16"/>
                <w:szCs w:val="16"/>
                <w:rtl w:val="0"/>
              </w:rPr>
              <w:t xml:space="preserve">Technical Board, Tamil Nadu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PUBLICATIONS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Cloud Computing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All About Big Data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Future Trends in BI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AI &amp; THOUGHT LEADERSHIP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160+ articles on paddyspeaks.com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Claude Code skill development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Vibe coding methodology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AI agent architecture writing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OPEN-SOURCE &amp; COMMUNITY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Interview Studio — free Data &amp; AI Engineering prep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22 data-model deep-dives + 1,500+ questions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36" w:before="0" w:line="218" w:lineRule="auto"/>
              <w:ind w:left="180" w:right="0" w:hanging="16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dce1ea"/>
                <w:sz w:val="16"/>
                <w:szCs w:val="16"/>
                <w:u w:val="none"/>
                <w:shd w:fill="auto" w:val="clear"/>
                <w:vertAlign w:val="baseline"/>
                <w:rtl w:val="0"/>
              </w:rPr>
              <w:t xml:space="preserve">In-browser SQL / Python (WASM), no backend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pBdr>
                <w:bottom w:color="55678a" w:space="3" w:sz="4" w:val="single"/>
              </w:pBdr>
              <w:spacing w:after="80" w:before="20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 Consultant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LinkedIn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Dec 2017 – Apr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GDPR compliance — PII encryption into Dali storage (Hive, Python, Pig)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Lead 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Sep 2015 – Sep 2017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80+ Dataswarm pipelines for petabyte-scale ads; Cross Device Insights, Outcomes Datamart + Norms DB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Engineer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GREE International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2014 – 2015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A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PII masking, Vertica→Redshift, 1,000+ table optimization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Data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Chegg Inc.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4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Oct 2013 – Apr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Technical Director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Model 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2011 – 2013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Life Sciences BI, cloud migration, ETL modularization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CallidusCloud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2005 – 2011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Incentive comp analytics, BusinessObjects XI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6" w:before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DW Architect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c9956b"/>
                <w:sz w:val="16"/>
                <w:szCs w:val="16"/>
                <w:rtl w:val="0"/>
              </w:rPr>
              <w:t xml:space="preserve">Hewlett Packard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6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94a1b8"/>
                <w:sz w:val="15"/>
                <w:szCs w:val="15"/>
                <w:rtl w:val="0"/>
              </w:rPr>
              <w:t xml:space="preserve">2001 – 2005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40" w:line="21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dce1ea"/>
                <w:sz w:val="15"/>
                <w:szCs w:val="15"/>
                <w:rtl w:val="0"/>
              </w:rPr>
              <w:t xml:space="preserve">Enterprise DW + 8 datamarts; ETL 18→3 hrs; 40–50% sales lift via clickstream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dfbf4" w:val="clear"/>
            <w:tcMar>
              <w:top w:w="200.0" w:type="dxa"/>
              <w:left w:w="280.0" w:type="dxa"/>
              <w:bottom w:w="200.0" w:type="dxa"/>
              <w:right w:w="16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30" w:lineRule="auto"/>
              <w:rPr/>
            </w:pPr>
            <w:r w:rsidDel="00000000" w:rsidR="00000000" w:rsidRPr="00000000">
              <w:rPr>
                <w:rFonts w:ascii="Georgia" w:cs="Georgia" w:eastAsia="Georgia" w:hAnsi="Georgia"/>
                <w:b w:val="1"/>
                <w:bCs w:val="1"/>
                <w:color w:val="1c2b45"/>
                <w:sz w:val="56"/>
                <w:szCs w:val="56"/>
                <w:rtl w:val="0"/>
              </w:rPr>
              <w:t xml:space="preserve">Paddy Iyer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B">
            <w:pPr>
              <w:spacing w:after="9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6"/>
                <w:szCs w:val="16"/>
                <w:rtl w:val="0"/>
              </w:rPr>
              <w:t xml:space="preserve">DATA ENGINEERING LEADER · STRATEGIC DATA ARCHITECT · AI &amp; PRIVACY ENGINEERING · AI INNOVATOR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spacing w:after="60" w:line="2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27354d"/>
                <w:sz w:val="18"/>
                <w:szCs w:val="18"/>
                <w:rtl w:val="0"/>
              </w:rPr>
              <w:t xml:space="preserve">15+ years driving enterprise data transformation for global tech leaders across cloud/SaaS, fintech, gaming, and consumer platforms. Expert in cloud-native architectures, real-time analytics, privacy-first pipelines, and AI-augmented data operations. Proven builder of high-trust, high-performance data teams at petabyte scale. Published writer and thought leader on data architecture, AI agents, and the intersection of ancient wisdom with modern technology.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D">
            <w:pPr>
              <w:spacing w:after="100" w:before="60" w:line="3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Modern Data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Privacy-First Design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Consent Architecture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AI Agents &amp; LLM Pipelines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Prompt Engineering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Governance (C1–C5)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Petabyte-Scale Systems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Global Team Leadership </w:t>
            </w:r>
            <w:r w:rsidDel="00000000" w:rsidR="00000000" w:rsidRPr="00000000">
              <w:rPr>
                <w:rFonts w:ascii="Calibri" w:cs="Calibri" w:eastAsia="Calibri" w:hAnsi="Calibri"/>
                <w:sz w:val="17"/>
                <w:szCs w:val="17"/>
                <w:rtl w:val="0"/>
              </w:rPr>
              <w:t xml:space="preserve">  </w:t>
            </w:r>
            <w:r w:rsidDel="00000000" w:rsidR="00000000" w:rsidRPr="00000000">
              <w:rPr>
                <w:rFonts w:ascii="Calibri" w:cs="Calibri" w:eastAsia="Calibri" w:hAnsi="Calibri"/>
                <w:color w:val="4a5a75"/>
                <w:sz w:val="17"/>
                <w:szCs w:val="17"/>
                <w:shd w:fill="f3ecdc" w:val="clear"/>
                <w:rtl w:val="0"/>
              </w:rPr>
              <w:t xml:space="preserve"> Data Storytelling 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FEATURED EXPERIENCE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F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Data Engineer — Privacy &amp; Consent Infrastructure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Apr 2024 –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Landed 1,000+ production changes across a multi-year privacy migration — sustained solo throughput normally requiring a team of 3–4 engineers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Cleared the final blocker to a company-wide data warehouse consolidation program. My workstream covered the last ~20% of warehouse data — the portion nobody else could touch because it sat directly in the advertising revenue path. Completing it took the program from 80% to 100% coverage and enabled its formal close-out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Executed that migration with zero revenue impact on the highest-sensitivity assets in the warehouse, under a constraint that any error would surface as ads revenue loss rather than a test failure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Proved the pre-deployment validation stack was structurally blind — permission checks returned PASS for tables that didn't exist and never modeled runtime enforcement. Built the hard-gate guard system that closed the gap; every gate traces to a specific postmortem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Reduced an entire failure class to an offline-checkable invariant. Verified against the full asset inventory: 81% of migrations required a namespace change, not the name change the tooling assumed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response for 5 production incidents including 2 SEV3s (one at $5.27M/day) — fix-forward, zero reverts, permission grants coordinated across 6+ owning teams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Co-built an AI coding skill encoding the full remediation methodology: engineer ramp-up 2 weeks → 2 days, per-asset cycle time down 3–5×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Work recognized in a company-wide announcement to the Data organization, with the difficulty of this workstream called out explicitly by senior engineering leadership</w:t>
            </w:r>
          </w:p>
          <w:p w:rsidR="00000000" w:rsidDel="00000000" w:rsidP="00000000" w:rsidRDefault="00000000" w:rsidRPr="00000000" w14:paraId="00000053">
            <w:pPr>
              <w:pBdr>
                <w:bottom w:color="c29345" w:space="3" w:sz="6" w:val="single"/>
              </w:pBdr>
              <w:spacing w:after="90" w:before="2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29345"/>
                <w:sz w:val="19"/>
                <w:szCs w:val="19"/>
                <w:rtl w:val="0"/>
              </w:rPr>
              <w:t xml:space="preserve">EARLIER CAREER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Lead Data Architect — Partner Data Engineering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Jan 2022 – Jan 2024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VMware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Strategic architect for VMware's Partner Data Platform — unifying fragmented partner data into a single governed analytics layer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Designed and built the Partner Data Platform from the ground up, unifying partner data from 10+ disparate sources into a single governed analytics layer — eliminating silos that had blocked cross-functional decision-making for years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Implemented VMware's first structured data governance for partner data (classification, lineage, policy enforcement) plus a self-service data catalog — cutting tribal-knowledge reliance by 60% and ad-hoc request volume by ~40%, and achieving audit-ready status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Pioneered an AI copilot for retrieval optimization, coding, and governance — one of VMware's earliest LLM-assisted data engineering deployments, reducing routine query development time by ~30%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Achieved 40%+ Spark processing improvements via broadcast joins, caching, and skew management — bringing SLA-critical reports inside their delivery windows for the first time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Engaged director/VP-level stakeholders to define a unified data vision, securing budget and headcount that grew the team from 3 to 8 engineers during the engagement</w:t>
            </w:r>
          </w:p>
          <w:p w:rsidR="00000000" w:rsidDel="00000000" w:rsidP="00000000" w:rsidRDefault="00000000" w:rsidRPr="00000000" w14:paraId="0000005C">
            <w:pPr>
              <w:keepNext w:val="1"/>
              <w:tabs>
                <w:tab w:val="right" w:leader="none" w:pos="8150"/>
              </w:tabs>
              <w:spacing w:after="10" w:before="15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c2b45"/>
                <w:sz w:val="23"/>
                <w:szCs w:val="23"/>
                <w:rtl w:val="0"/>
              </w:rPr>
              <w:t xml:space="preserve">Senior Consultant — Ads, Commerce &amp; Privacy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Jul 2019 – Dec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1"/>
              <w:spacing w:after="2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c9956b"/>
                <w:sz w:val="19"/>
                <w:szCs w:val="19"/>
                <w:rtl w:val="0"/>
              </w:rPr>
              <w:t xml:space="preserve">Meta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spacing w:after="60" w:line="235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8a8273"/>
                <w:sz w:val="18"/>
                <w:szCs w:val="18"/>
                <w:rtl w:val="0"/>
              </w:rPr>
              <w:t xml:space="preserve">Led high-impact projects across Meta's Ads, Commerce, and Privacy teams, architecting secure, scalable, and compliant data platforms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Led privacy remediation across 1,200+ SMB 2.0, Customer Journey, and BPO tables — resolving critical compliance-risk design flaws and establishing remediation patterns later adopted at scale in the Safe Ads program</w:t>
            </w:r>
          </w:p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Spearheaded migration of 1,000+ Hive pipelines to Spark, automating ~70% of conversion tasks — compressing a projected 12-month migration to under 6 months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Owned the SMB funnel redesign, improving query performance 3x and scaling the pipeline from thousands to tens of thousands of small-business advertisers without infrastructure changes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46" w:before="0" w:line="240" w:lineRule="auto"/>
              <w:ind w:left="230" w:right="0" w:hanging="200"/>
              <w:jc w:val="left"/>
              <w:rPr/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27354d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Enhanced Hive anonymization processes with privacy engineers, enabling ads and commerce data products to pass privacy audits without manual intervention — cutting audit preparation effort by ~60%</w:t>
            </w:r>
          </w:p>
        </w:tc>
      </w:tr>
    </w:tbl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27354d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360" w:top="360" w:left="360" w:right="3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180" w:hanging="160"/>
      </w:pPr>
      <w:rPr>
        <w:color w:val="c9956b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▪"/>
      <w:lvlJc w:val="left"/>
      <w:pPr>
        <w:ind w:left="230" w:hanging="200"/>
      </w:pPr>
      <w:rPr>
        <w:color w:val="c9956b"/>
        <w:sz w:val="14"/>
        <w:szCs w:val="14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27354d"/>
        <w:sz w:val="18"/>
        <w:szCs w:val="18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18"/>
      <w:szCs w:val="18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18"/>
      <w:szCs w:val="18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7354d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