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146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T</w:t>
      </w:r>
    </w:p>
    <w:p>
      <w:pPr>
        <w:spacing w:before="145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✉</w:t>
      </w:r>
      <w:r>
        <w:rPr>
          <w:rFonts w:ascii="Segoe UI Symbol" w:hAnsi="Segoe UI Symbol"/>
          <w:color w:val="C79059"/>
          <w:spacing w:val="36"/>
          <w:sz w:val="15"/>
        </w:rPr>
        <w:t> </w:t>
      </w:r>
      <w:hyperlink r:id="rId5">
        <w:r>
          <w:rPr>
            <w:color w:val="E7C8A0"/>
            <w:sz w:val="15"/>
          </w:rPr>
          <w:t>[email</w:t>
        </w:r>
        <w:r>
          <w:rPr>
            <w:color w:val="E7C8A0"/>
            <w:spacing w:val="-7"/>
            <w:sz w:val="15"/>
          </w:rPr>
          <w:t> </w:t>
        </w:r>
        <w:r>
          <w:rPr>
            <w:color w:val="E7C8A0"/>
            <w:spacing w:val="-2"/>
            <w:sz w:val="15"/>
          </w:rPr>
          <w:t>protected]</w:t>
        </w:r>
      </w:hyperlink>
    </w:p>
    <w:p>
      <w:pPr>
        <w:spacing w:before="55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w w:val="105"/>
          <w:sz w:val="15"/>
        </w:rPr>
        <w:t>↗</w:t>
      </w:r>
      <w:r>
        <w:rPr>
          <w:rFonts w:ascii="Segoe UI Symbol" w:hAnsi="Segoe UI Symbol"/>
          <w:color w:val="C79059"/>
          <w:spacing w:val="60"/>
          <w:w w:val="105"/>
          <w:sz w:val="15"/>
        </w:rPr>
        <w:t> </w:t>
      </w:r>
      <w:hyperlink r:id="rId6">
        <w:r>
          <w:rPr>
            <w:color w:val="E7C8A0"/>
            <w:spacing w:val="-2"/>
            <w:w w:val="105"/>
            <w:sz w:val="15"/>
          </w:rPr>
          <w:t>linkedin.com/in/paddyiyer</w:t>
        </w:r>
      </w:hyperlink>
    </w:p>
    <w:p>
      <w:pPr>
        <w:spacing w:before="56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✎</w:t>
      </w:r>
      <w:r>
        <w:rPr>
          <w:rFonts w:ascii="Segoe UI Symbol" w:hAnsi="Segoe UI Symbol"/>
          <w:color w:val="C79059"/>
          <w:spacing w:val="27"/>
          <w:sz w:val="15"/>
        </w:rPr>
        <w:t> </w:t>
      </w:r>
      <w:hyperlink r:id="rId7">
        <w:r>
          <w:rPr>
            <w:color w:val="E7C8A0"/>
            <w:spacing w:val="-2"/>
            <w:sz w:val="15"/>
          </w:rPr>
          <w:t>paddyspeaks.com</w:t>
        </w:r>
      </w:hyperlink>
    </w:p>
    <w:p>
      <w:pPr>
        <w:spacing w:before="55"/>
        <w:ind w:left="360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☷</w:t>
      </w:r>
      <w:r>
        <w:rPr>
          <w:rFonts w:ascii="Segoe UI Symbol" w:hAnsi="Segoe UI Symbol"/>
          <w:color w:val="C79059"/>
          <w:spacing w:val="47"/>
          <w:sz w:val="15"/>
        </w:rPr>
        <w:t> </w:t>
      </w:r>
      <w:hyperlink r:id="rId8">
        <w:r>
          <w:rPr>
            <w:color w:val="E7C8A0"/>
            <w:spacing w:val="-2"/>
            <w:sz w:val="15"/>
          </w:rPr>
          <w:t>github.com/paddyriyer</w:t>
        </w:r>
      </w:hyperlink>
    </w:p>
    <w:p>
      <w:pPr>
        <w:spacing w:before="71"/>
        <w:ind w:left="360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w w:val="105"/>
          <w:sz w:val="15"/>
        </w:rPr>
        <w:t>⚑</w:t>
      </w:r>
      <w:r>
        <w:rPr>
          <w:rFonts w:ascii="Segoe UI Symbol" w:hAnsi="Segoe UI Symbol"/>
          <w:color w:val="C79059"/>
          <w:spacing w:val="24"/>
          <w:w w:val="105"/>
          <w:sz w:val="15"/>
        </w:rPr>
        <w:t> </w:t>
      </w:r>
      <w:r>
        <w:rPr>
          <w:color w:val="CBD5E1"/>
          <w:w w:val="105"/>
          <w:sz w:val="15"/>
        </w:rPr>
        <w:t>San</w:t>
      </w:r>
      <w:r>
        <w:rPr>
          <w:color w:val="CBD5E1"/>
          <w:spacing w:val="-10"/>
          <w:w w:val="105"/>
          <w:sz w:val="15"/>
        </w:rPr>
        <w:t> </w:t>
      </w:r>
      <w:r>
        <w:rPr>
          <w:color w:val="CBD5E1"/>
          <w:w w:val="105"/>
          <w:sz w:val="15"/>
        </w:rPr>
        <w:t>Francisco</w:t>
      </w:r>
      <w:r>
        <w:rPr>
          <w:color w:val="CBD5E1"/>
          <w:spacing w:val="-10"/>
          <w:w w:val="105"/>
          <w:sz w:val="15"/>
        </w:rPr>
        <w:t> </w:t>
      </w:r>
      <w:r>
        <w:rPr>
          <w:color w:val="CBD5E1"/>
          <w:w w:val="105"/>
          <w:sz w:val="15"/>
        </w:rPr>
        <w:t>Bay</w:t>
      </w:r>
      <w:r>
        <w:rPr>
          <w:color w:val="CBD5E1"/>
          <w:spacing w:val="-11"/>
          <w:w w:val="105"/>
          <w:sz w:val="15"/>
        </w:rPr>
        <w:t> </w:t>
      </w:r>
      <w:r>
        <w:rPr>
          <w:color w:val="CBD5E1"/>
          <w:spacing w:val="-4"/>
          <w:w w:val="105"/>
          <w:sz w:val="15"/>
        </w:rPr>
        <w:t>Area</w:t>
      </w:r>
    </w:p>
    <w:p>
      <w:pPr>
        <w:pStyle w:val="BodyText"/>
        <w:spacing w:before="86"/>
        <w:ind w:firstLine="0"/>
        <w:rPr>
          <w:sz w:val="15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S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K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52"/>
        <w:ind w:firstLine="0"/>
        <w:rPr>
          <w:rFonts w:ascii="Courier New"/>
          <w:sz w:val="13"/>
        </w:rPr>
      </w:pPr>
    </w:p>
    <w:p>
      <w:pPr>
        <w:tabs>
          <w:tab w:pos="1014" w:val="left" w:leader="none"/>
          <w:tab w:pos="1263" w:val="left" w:leader="none"/>
          <w:tab w:pos="1309" w:val="left" w:leader="none"/>
          <w:tab w:pos="1511" w:val="left" w:leader="none"/>
          <w:tab w:pos="2160" w:val="left" w:leader="none"/>
          <w:tab w:pos="2212" w:val="left" w:leader="none"/>
        </w:tabs>
        <w:spacing w:line="494" w:lineRule="auto" w:before="0"/>
        <w:ind w:left="435" w:right="202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Spark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Hive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Hadoop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Databricks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Delta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Lake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Snowflake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Redshift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spacing w:val="-2"/>
          <w:w w:val="105"/>
          <w:sz w:val="13"/>
        </w:rPr>
        <w:t>MongoDB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DynamoDB</w:t>
      </w:r>
      <w:r>
        <w:rPr>
          <w:color w:val="CBD5E1"/>
          <w:sz w:val="13"/>
        </w:rPr>
        <w:tab/>
      </w:r>
      <w:r>
        <w:rPr>
          <w:color w:val="CBD5E1"/>
          <w:spacing w:val="-15"/>
          <w:sz w:val="13"/>
        </w:rPr>
        <w:t> </w:t>
      </w:r>
      <w:r>
        <w:rPr>
          <w:color w:val="CBD5E1"/>
          <w:w w:val="105"/>
          <w:sz w:val="13"/>
        </w:rPr>
        <w:t>AWS</w:t>
      </w:r>
    </w:p>
    <w:p>
      <w:pPr>
        <w:tabs>
          <w:tab w:pos="1014" w:val="left" w:leader="none"/>
          <w:tab w:pos="1381" w:val="left" w:leader="none"/>
          <w:tab w:pos="1414" w:val="left" w:leader="none"/>
          <w:tab w:pos="1475" w:val="left" w:leader="none"/>
          <w:tab w:pos="1534" w:val="left" w:leader="none"/>
          <w:tab w:pos="2181" w:val="left" w:leader="none"/>
          <w:tab w:pos="2326" w:val="left" w:leader="none"/>
          <w:tab w:pos="2398" w:val="left" w:leader="none"/>
          <w:tab w:pos="2678" w:val="left" w:leader="none"/>
        </w:tabs>
        <w:spacing w:line="506" w:lineRule="auto" w:before="6"/>
        <w:ind w:left="435" w:right="38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Azure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GCP</w:t>
      </w:r>
      <w:r>
        <w:rPr>
          <w:color w:val="CBD5E1"/>
          <w:sz w:val="13"/>
        </w:rPr>
        <w:tab/>
        <w:tab/>
        <w:tab/>
        <w:tab/>
      </w:r>
      <w:r>
        <w:rPr>
          <w:color w:val="CBD5E1"/>
          <w:spacing w:val="-2"/>
          <w:w w:val="105"/>
          <w:sz w:val="13"/>
        </w:rPr>
        <w:t>Python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SQL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Scala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Diff.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Privacy</w:t>
      </w:r>
      <w:r>
        <w:rPr>
          <w:color w:val="CBD5E1"/>
          <w:sz w:val="13"/>
        </w:rPr>
        <w:tab/>
      </w:r>
      <w:r>
        <w:rPr>
          <w:color w:val="CBD5E1"/>
          <w:w w:val="105"/>
          <w:sz w:val="13"/>
        </w:rPr>
        <w:t>Claude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Code</w:t>
      </w:r>
      <w:r>
        <w:rPr>
          <w:color w:val="CBD5E1"/>
          <w:sz w:val="13"/>
        </w:rPr>
        <w:tab/>
        <w:tab/>
        <w:tab/>
      </w:r>
      <w:r>
        <w:rPr>
          <w:color w:val="CBD5E1"/>
          <w:w w:val="105"/>
          <w:sz w:val="13"/>
        </w:rPr>
        <w:t>AI</w:t>
      </w:r>
      <w:r>
        <w:rPr>
          <w:color w:val="CBD5E1"/>
          <w:spacing w:val="-10"/>
          <w:w w:val="105"/>
          <w:sz w:val="13"/>
        </w:rPr>
        <w:t> </w:t>
      </w:r>
      <w:r>
        <w:rPr>
          <w:color w:val="CBD5E1"/>
          <w:w w:val="105"/>
          <w:sz w:val="13"/>
        </w:rPr>
        <w:t>Agents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Prompt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Eng.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Dataswarm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Informatica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Unity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Catalog</w:t>
      </w:r>
      <w:r>
        <w:rPr>
          <w:color w:val="CBD5E1"/>
          <w:sz w:val="13"/>
        </w:rPr>
        <w:tab/>
        <w:tab/>
        <w:tab/>
      </w:r>
      <w:r>
        <w:rPr>
          <w:color w:val="CBD5E1"/>
          <w:spacing w:val="-2"/>
          <w:w w:val="105"/>
          <w:sz w:val="13"/>
        </w:rPr>
        <w:t>Polymer</w:t>
      </w:r>
      <w:r>
        <w:rPr>
          <w:color w:val="CBD5E1"/>
          <w:sz w:val="13"/>
        </w:rPr>
        <w:tab/>
      </w:r>
      <w:r>
        <w:rPr>
          <w:color w:val="CBD5E1"/>
          <w:spacing w:val="-21"/>
          <w:sz w:val="13"/>
        </w:rPr>
        <w:t> </w:t>
      </w:r>
      <w:r>
        <w:rPr>
          <w:color w:val="CBD5E1"/>
          <w:w w:val="105"/>
          <w:sz w:val="13"/>
        </w:rPr>
        <w:t>FGF</w:t>
      </w:r>
    </w:p>
    <w:p>
      <w:pPr>
        <w:tabs>
          <w:tab w:pos="1158" w:val="left" w:leader="none"/>
        </w:tabs>
        <w:spacing w:line="148" w:lineRule="exact" w:before="0"/>
        <w:ind w:left="435" w:right="0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Unidash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BusinessObjects</w:t>
      </w:r>
    </w:p>
    <w:p>
      <w:pPr>
        <w:pStyle w:val="BodyText"/>
        <w:spacing w:before="105"/>
        <w:ind w:firstLine="0"/>
        <w:rPr>
          <w:sz w:val="13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D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2"/>
          <w:sz w:val="13"/>
        </w:rPr>
        <w:t>N</w:t>
      </w:r>
    </w:p>
    <w:p>
      <w:pPr>
        <w:pStyle w:val="BodyText"/>
        <w:spacing w:before="3"/>
        <w:ind w:firstLine="0"/>
        <w:rPr>
          <w:rFonts w:ascii="Courier New"/>
          <w:sz w:val="13"/>
        </w:rPr>
      </w:pPr>
    </w:p>
    <w:p>
      <w:pPr>
        <w:spacing w:before="0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Data Engineering </w:t>
      </w:r>
      <w:r>
        <w:rPr>
          <w:b/>
          <w:color w:val="E2E7F0"/>
          <w:spacing w:val="-2"/>
          <w:sz w:val="15"/>
        </w:rPr>
        <w:t>Cert.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z w:val="14"/>
        </w:rPr>
        <w:t>UC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Santa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Cruz,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2013–</w:t>
      </w:r>
      <w:r>
        <w:rPr>
          <w:color w:val="94A2B8"/>
          <w:spacing w:val="-5"/>
          <w:sz w:val="14"/>
        </w:rPr>
        <w:t>14</w:t>
      </w:r>
    </w:p>
    <w:p>
      <w:pPr>
        <w:spacing w:before="129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B.S. Electrical </w:t>
      </w:r>
      <w:r>
        <w:rPr>
          <w:b/>
          <w:color w:val="E2E7F0"/>
          <w:spacing w:val="-2"/>
          <w:sz w:val="15"/>
        </w:rPr>
        <w:t>Engineering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z w:val="14"/>
        </w:rPr>
        <w:t>Sardar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Patel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College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of</w:t>
      </w:r>
      <w:r>
        <w:rPr>
          <w:color w:val="94A2B8"/>
          <w:spacing w:val="-4"/>
          <w:sz w:val="14"/>
        </w:rPr>
        <w:t> Eng.</w:t>
      </w:r>
    </w:p>
    <w:p>
      <w:pPr>
        <w:spacing w:before="115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Diploma, Electronics &amp; </w:t>
      </w:r>
      <w:r>
        <w:rPr>
          <w:b/>
          <w:color w:val="E2E7F0"/>
          <w:spacing w:val="-2"/>
          <w:sz w:val="15"/>
        </w:rPr>
        <w:t>Comms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pacing w:val="-2"/>
          <w:sz w:val="14"/>
        </w:rPr>
        <w:t>Technical</w:t>
      </w:r>
      <w:r>
        <w:rPr>
          <w:color w:val="94A2B8"/>
          <w:spacing w:val="-3"/>
          <w:sz w:val="14"/>
        </w:rPr>
        <w:t> </w:t>
      </w:r>
      <w:r>
        <w:rPr>
          <w:color w:val="94A2B8"/>
          <w:spacing w:val="-2"/>
          <w:sz w:val="14"/>
        </w:rPr>
        <w:t>Board,</w:t>
      </w:r>
      <w:r>
        <w:rPr>
          <w:color w:val="94A2B8"/>
          <w:spacing w:val="-4"/>
          <w:sz w:val="14"/>
        </w:rPr>
        <w:t> </w:t>
      </w:r>
      <w:r>
        <w:rPr>
          <w:color w:val="94A2B8"/>
          <w:spacing w:val="-2"/>
          <w:sz w:val="14"/>
        </w:rPr>
        <w:t>Tamil </w:t>
      </w:r>
      <w:r>
        <w:rPr>
          <w:color w:val="94A2B8"/>
          <w:spacing w:val="-4"/>
          <w:sz w:val="14"/>
        </w:rPr>
        <w:t>Nadu</w:t>
      </w:r>
    </w:p>
    <w:p>
      <w:pPr>
        <w:pStyle w:val="BodyText"/>
        <w:spacing w:before="136"/>
        <w:ind w:firstLine="0"/>
        <w:rPr>
          <w:sz w:val="14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F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27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VMware SaaS </w:t>
      </w:r>
      <w:r>
        <w:rPr>
          <w:color w:val="CBD5E1"/>
          <w:spacing w:val="-2"/>
          <w:w w:val="105"/>
          <w:sz w:val="14"/>
        </w:rPr>
        <w:t>Essentials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Hadoop </w:t>
      </w:r>
      <w:r>
        <w:rPr>
          <w:color w:val="CBD5E1"/>
          <w:spacing w:val="-2"/>
          <w:w w:val="105"/>
          <w:sz w:val="14"/>
        </w:rPr>
        <w:t>Fundamentals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NoSQL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Databases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NoSQL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w w:val="105"/>
          <w:sz w:val="14"/>
        </w:rPr>
        <w:t>for 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Professionals</w:t>
      </w:r>
    </w:p>
    <w:p>
      <w:pPr>
        <w:pStyle w:val="BodyText"/>
        <w:spacing w:before="91"/>
        <w:ind w:firstLine="0"/>
        <w:rPr>
          <w:sz w:val="14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P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B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13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Cloud </w:t>
      </w:r>
      <w:r>
        <w:rPr>
          <w:color w:val="CBD5E1"/>
          <w:spacing w:val="-2"/>
          <w:w w:val="105"/>
          <w:sz w:val="14"/>
        </w:rPr>
        <w:t>Computing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All</w:t>
      </w:r>
      <w:r>
        <w:rPr>
          <w:color w:val="CBD5E1"/>
          <w:spacing w:val="-8"/>
          <w:w w:val="105"/>
          <w:sz w:val="14"/>
        </w:rPr>
        <w:t> </w:t>
      </w:r>
      <w:r>
        <w:rPr>
          <w:color w:val="CBD5E1"/>
          <w:w w:val="105"/>
          <w:sz w:val="14"/>
        </w:rPr>
        <w:t>About Big </w:t>
      </w:r>
      <w:r>
        <w:rPr>
          <w:color w:val="CBD5E1"/>
          <w:spacing w:val="-4"/>
          <w:w w:val="105"/>
          <w:sz w:val="14"/>
        </w:rPr>
        <w:t>Data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Future</w:t>
      </w:r>
      <w:r>
        <w:rPr>
          <w:color w:val="CBD5E1"/>
          <w:spacing w:val="-5"/>
          <w:w w:val="105"/>
          <w:sz w:val="14"/>
        </w:rPr>
        <w:t> </w:t>
      </w:r>
      <w:r>
        <w:rPr>
          <w:color w:val="CBD5E1"/>
          <w:w w:val="105"/>
          <w:sz w:val="14"/>
        </w:rPr>
        <w:t>Trends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w w:val="105"/>
          <w:sz w:val="14"/>
        </w:rPr>
        <w:t>in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spacing w:val="-5"/>
          <w:w w:val="105"/>
          <w:sz w:val="14"/>
        </w:rPr>
        <w:t>BI</w:t>
      </w:r>
    </w:p>
    <w:p>
      <w:pPr>
        <w:pStyle w:val="Heading1"/>
      </w:pPr>
      <w:r>
        <w:rPr>
          <w:b w:val="0"/>
        </w:rPr>
        <w:br w:type="column"/>
      </w:r>
      <w:r>
        <w:rPr>
          <w:color w:val="1A2E45"/>
          <w:spacing w:val="17"/>
        </w:rPr>
        <w:t>Paddy</w:t>
      </w:r>
      <w:r>
        <w:rPr>
          <w:color w:val="1A2E45"/>
          <w:spacing w:val="47"/>
        </w:rPr>
        <w:t> </w:t>
      </w:r>
      <w:r>
        <w:rPr>
          <w:color w:val="1A2E45"/>
          <w:spacing w:val="12"/>
        </w:rPr>
        <w:t>Iyer</w:t>
      </w:r>
    </w:p>
    <w:p>
      <w:pPr>
        <w:spacing w:before="60"/>
        <w:ind w:left="345" w:right="0" w:firstLine="0"/>
        <w:jc w:val="left"/>
        <w:rPr>
          <w:rFonts w:ascii="Courier New" w:hAnsi="Courier New"/>
          <w:sz w:val="14"/>
        </w:rPr>
      </w:pP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L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S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H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P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V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Y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-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F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S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pacing w:val="-10"/>
          <w:sz w:val="14"/>
        </w:rPr>
        <w:t>T</w:t>
      </w:r>
    </w:p>
    <w:p>
      <w:pPr>
        <w:spacing w:before="7"/>
        <w:ind w:left="345" w:right="0" w:firstLine="0"/>
        <w:jc w:val="left"/>
        <w:rPr>
          <w:rFonts w:ascii="Courier New" w:hAnsi="Courier New"/>
          <w:sz w:val="14"/>
        </w:rPr>
      </w:pP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O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V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O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pacing w:val="-10"/>
          <w:sz w:val="14"/>
        </w:rPr>
        <w:t>R</w:t>
      </w:r>
    </w:p>
    <w:p>
      <w:pPr>
        <w:spacing w:line="312" w:lineRule="auto" w:before="128"/>
        <w:ind w:left="345" w:right="89" w:firstLine="0"/>
        <w:jc w:val="left"/>
        <w:rPr>
          <w:sz w:val="17"/>
        </w:rPr>
      </w:pPr>
      <w:r>
        <w:rPr>
          <w:color w:val="465469"/>
          <w:sz w:val="17"/>
        </w:rPr>
        <w:t xml:space="preserve">35+ years building and transforming enterprise data platforms for global tech leaders across cloud/SaaS, fintech, gaming, and consumer platforms. Expert in cloud-native architectures, real-time analytics, privacy-first pipelines, and AI-augmented data operations. Proven builder of high-trust, high-performance data teams at petabyte scale.</w:t>
      </w:r>
    </w:p>
    <w:p>
      <w:pPr>
        <w:pStyle w:val="BodyText"/>
        <w:spacing w:before="122"/>
        <w:ind w:firstLine="0"/>
        <w:rPr>
          <w:sz w:val="17"/>
        </w:rPr>
      </w:pPr>
    </w:p>
    <w:p>
      <w:pPr>
        <w:tabs>
          <w:tab w:pos="2002" w:val="left" w:leader="none"/>
          <w:tab w:pos="2352" w:val="left" w:leader="none"/>
          <w:tab w:pos="3903" w:val="left" w:leader="none"/>
          <w:tab w:pos="3966" w:val="left" w:leader="none"/>
          <w:tab w:pos="5502" w:val="left" w:leader="none"/>
          <w:tab w:pos="5791" w:val="left" w:leader="none"/>
        </w:tabs>
        <w:spacing w:line="446" w:lineRule="auto" w:before="0"/>
        <w:ind w:left="465" w:right="1030" w:firstLine="0"/>
        <w:jc w:val="left"/>
        <w:rPr>
          <w:sz w:val="14"/>
        </w:rPr>
      </w:pPr>
      <w:r>
        <w:rPr>
          <w:color w:val="465469"/>
          <w:sz w:val="14"/>
        </w:rPr>
        <w:t>Modern Data Architecture</w:t>
        <w:tab/>
        <w:t>Privacy-First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Design</w:t>
        <w:tab/>
        <w:t>Consent</w:t>
      </w:r>
      <w:r>
        <w:rPr>
          <w:color w:val="465469"/>
          <w:spacing w:val="-10"/>
          <w:sz w:val="14"/>
        </w:rPr>
        <w:t> </w:t>
      </w:r>
      <w:r>
        <w:rPr>
          <w:color w:val="465469"/>
          <w:sz w:val="14"/>
        </w:rPr>
        <w:t>Architecture</w:t>
        <w:tab/>
        <w:t>AI Agents &amp; LLM Pipelines</w:t>
      </w:r>
      <w:r>
        <w:rPr>
          <w:color w:val="465469"/>
          <w:spacing w:val="40"/>
          <w:sz w:val="14"/>
        </w:rPr>
        <w:t> </w:t>
      </w:r>
      <w:r>
        <w:rPr>
          <w:color w:val="465469"/>
          <w:sz w:val="14"/>
        </w:rPr>
        <w:t>Prompt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Engineering</w:t>
        <w:tab/>
        <w:t>Data Governance (C1–C5)</w:t>
        <w:tab/>
        <w:tab/>
        <w:t>Petabyte-Scale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Systems</w:t>
        <w:tab/>
        <w:tab/>
      </w:r>
      <w:r>
        <w:rPr>
          <w:color w:val="465469"/>
          <w:spacing w:val="-2"/>
          <w:sz w:val="14"/>
        </w:rPr>
        <w:t>Global</w:t>
      </w:r>
      <w:r>
        <w:rPr>
          <w:color w:val="465469"/>
          <w:spacing w:val="-8"/>
          <w:sz w:val="14"/>
        </w:rPr>
        <w:t> </w:t>
      </w:r>
      <w:r>
        <w:rPr>
          <w:color w:val="465469"/>
          <w:spacing w:val="-2"/>
          <w:sz w:val="14"/>
        </w:rPr>
        <w:t>Team</w:t>
      </w:r>
      <w:r>
        <w:rPr>
          <w:color w:val="465469"/>
          <w:spacing w:val="-8"/>
          <w:sz w:val="14"/>
        </w:rPr>
        <w:t> </w:t>
      </w:r>
      <w:r>
        <w:rPr>
          <w:color w:val="465469"/>
          <w:spacing w:val="-2"/>
          <w:sz w:val="14"/>
        </w:rPr>
        <w:t>Leadership</w:t>
      </w:r>
      <w:r>
        <w:rPr>
          <w:color w:val="465469"/>
          <w:spacing w:val="40"/>
          <w:sz w:val="14"/>
        </w:rPr>
        <w:t> </w:t>
      </w:r>
      <w:r>
        <w:rPr>
          <w:color w:val="465469"/>
          <w:sz w:val="14"/>
        </w:rPr>
        <w:t>Data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Storytelling</w:t>
      </w:r>
    </w:p>
    <w:p>
      <w:pPr>
        <w:pStyle w:val="BodyText"/>
        <w:spacing w:before="65"/>
        <w:ind w:firstLine="0"/>
        <w:rPr>
          <w:sz w:val="14"/>
        </w:rPr>
      </w:pPr>
    </w:p>
    <w:p>
      <w:pPr>
        <w:spacing w:before="1"/>
        <w:ind w:left="345" w:right="0" w:firstLine="0"/>
        <w:jc w:val="left"/>
        <w:rPr>
          <w:rFonts w:ascii="Courier New"/>
          <w:sz w:val="14"/>
        </w:rPr>
      </w:pPr>
      <w:r>
        <w:rPr>
          <w:rFonts w:ascii="Courier New"/>
          <w:color w:val="C79059"/>
          <w:sz w:val="14"/>
        </w:rPr>
        <w:t>F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U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X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P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pacing w:val="-10"/>
          <w:sz w:val="14"/>
        </w:rPr>
        <w:t>E</w:t>
      </w:r>
    </w:p>
    <w:p>
      <w:pPr>
        <w:tabs>
          <w:tab w:pos="6901" w:val="left" w:leader="none"/>
        </w:tabs>
        <w:spacing w:before="94"/>
        <w:ind w:left="345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 xml:space="preserve">Data Engineer — Privacy &amp; Consent Infrastructure	Apr 2024 – Present</w:t>
      </w:r>
    </w:p>
    <w:p>
      <w:pPr>
        <w:spacing w:before="11"/>
        <w:ind w:left="345" w:right="0" w:firstLine="0"/>
        <w:jc w:val="left"/>
        <w:rPr>
          <w:sz w:val="17"/>
        </w:rPr>
      </w:pPr>
      <w:r>
        <w:rPr>
          <w:color w:val="C79059"/>
          <w:sz w:val="17"/>
        </w:rPr>
        <w:t xml:space="preserve">Meta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Delivered ~$500K/year in recovered engineering capacity by sustaining the output of 3–4 engineers as a single engineer through AI-assisted development — 1,000+ production changes landed over 2.5 years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Eliminated ~52,000 redundant data operations per year, removing an estimated 2–4 FTE of recurring manual toil (~$500K–$1M annually in engineering time, storage, and metadata overhead)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Achieved this leverage at under $1,000 in total LLM spend — roughly 500x return on inference cost — by optimizing on cost per landed change (~$1) rather than cost per API call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Cut LLM input tokens ~60% via cacheable prompt prefixes and routed simple transforms to zero-cost local engines, holding per-change cost flat as volume scaled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Cut manual cross-namespace data imports 90%+ (~157/day → ~14/day), driving the final phase of a multi-year warehouse consolidation from 80% to 100% coverage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Unblocked the last ~20% of warehouse data — the segment no prior effort could touch because it sat in the direct ads revenue path, where a single day of degradation carries seven-figure impact — and delivered it with zero revenue loss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Reduced engineer ramp-up from 2 weeks to 2 days and per-asset cycle time 3–5x by building a reusable AI agent playbook, with every hard-block gate derived from a production postmortem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Operated under a constraint where errors surface as revenue loss rather than test failures, which drove the guard-first design: proved the pre-deployment validation stack was structurally blind — permission checks passed for tables that did not exist — and built the system that closed the gap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Collapsed an entire failure class into an offline-checkable invariant: 81% of migrations required a namespace change, not the name change the tooling assumed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Owned incident response on revenue-critical infrastructure — 5 production incidents including 2 high-severity — resolved fix-forward with zero reverts and permission grants coordinated across 6+ teams</w:t>
      </w:r>
    </w:p>
    <w:p>
      <w:pPr>
        <w:spacing w:before="68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&amp;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G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D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S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P</w:t>
      </w:r>
    </w:p>
    <w:p>
      <w:pPr>
        <w:pStyle w:val="BodyText"/>
        <w:spacing w:before="12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 xml:space="preserve">128 articles on paddyspeaks.com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Claude Code skill </w:t>
      </w:r>
      <w:r>
        <w:rPr>
          <w:color w:val="CBD5E1"/>
          <w:spacing w:val="-2"/>
          <w:w w:val="105"/>
          <w:sz w:val="14"/>
        </w:rPr>
        <w:t>development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Vibe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w w:val="105"/>
          <w:sz w:val="14"/>
        </w:rPr>
        <w:t>coding</w:t>
      </w:r>
      <w:r>
        <w:rPr>
          <w:color w:val="CBD5E1"/>
          <w:spacing w:val="-1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methodology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AI agent architecture </w:t>
      </w:r>
      <w:r>
        <w:rPr>
          <w:color w:val="CBD5E1"/>
          <w:spacing w:val="-2"/>
          <w:w w:val="105"/>
          <w:sz w:val="14"/>
        </w:rPr>
        <w:t>writing</w:t>
      </w: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96"/>
        <w:ind w:firstLine="0"/>
        <w:rPr>
          <w:sz w:val="12"/>
        </w:rPr>
      </w:pPr>
    </w:p>
    <w:p>
      <w:pPr>
        <w:spacing w:before="0"/>
        <w:ind w:left="0" w:right="141" w:firstLine="0"/>
        <w:jc w:val="right"/>
        <w:rPr>
          <w:rFonts w:ascii="Courier New"/>
          <w:sz w:val="12"/>
        </w:rPr>
      </w:pPr>
      <w:r>
        <w:rPr>
          <w:rFonts w:ascii="Courier New"/>
          <w:color w:val="94A2B8"/>
          <w:sz w:val="12"/>
        </w:rPr>
        <w:t>Page 1 of </w:t>
      </w:r>
      <w:r>
        <w:rPr>
          <w:rFonts w:ascii="Courier New"/>
          <w:color w:val="94A2B8"/>
          <w:spacing w:val="-10"/>
          <w:sz w:val="12"/>
        </w:rPr>
        <w:t>3</w:t>
      </w:r>
    </w:p>
    <w:p>
      <w:pPr>
        <w:spacing w:after="0"/>
        <w:jc w:val="right"/>
        <w:rPr>
          <w:rFonts w:ascii="Courier New"/>
          <w:sz w:val="12"/>
        </w:rPr>
        <w:sectPr>
          <w:type w:val="continuous"/>
          <w:pgSz w:w="12240" w:h="15840"/>
          <w:pgMar w:top="420" w:bottom="280" w:left="0" w:right="360"/>
        </w:sect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52"/>
        <w:ind w:firstLine="0"/>
        <w:rPr>
          <w:rFonts w:ascii="Courier New"/>
          <w:sz w:val="13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R</w:t>
      </w:r>
    </w:p>
    <w:p>
      <w:pPr>
        <w:spacing w:before="105"/>
        <w:ind w:left="345" w:right="1440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Data Engineer </w:t>
      </w:r>
      <w:r>
        <w:rPr>
          <w:color w:val="C79059"/>
          <w:w w:val="105"/>
          <w:sz w:val="14"/>
        </w:rPr>
        <w:t>GREE</w:t>
      </w:r>
      <w:r>
        <w:rPr>
          <w:color w:val="C79059"/>
          <w:spacing w:val="-11"/>
          <w:w w:val="105"/>
          <w:sz w:val="14"/>
        </w:rPr>
        <w:t> </w:t>
      </w:r>
      <w:r>
        <w:rPr>
          <w:color w:val="C79059"/>
          <w:w w:val="105"/>
          <w:sz w:val="14"/>
        </w:rPr>
        <w:t>International </w:t>
      </w:r>
      <w:r>
        <w:rPr>
          <w:color w:val="94A2B8"/>
          <w:w w:val="105"/>
          <w:sz w:val="13"/>
        </w:rPr>
        <w:t>2014 – 2015</w:t>
      </w:r>
    </w:p>
    <w:p>
      <w:pPr>
        <w:spacing w:line="268" w:lineRule="auto" w:before="22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PII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masking,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Vertica→Redshift,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1,000+</w:t>
      </w:r>
      <w:r>
        <w:rPr>
          <w:color w:val="CBD5E1"/>
          <w:spacing w:val="-9"/>
          <w:sz w:val="14"/>
        </w:rPr>
        <w:t> </w:t>
      </w:r>
      <w:r>
        <w:rPr>
          <w:color w:val="CBD5E1"/>
          <w:sz w:val="14"/>
        </w:rPr>
        <w:t>table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2"/>
          <w:sz w:val="14"/>
        </w:rPr>
        <w:t>optimization</w:t>
      </w:r>
    </w:p>
    <w:p>
      <w:pPr>
        <w:spacing w:before="110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Data</w:t>
      </w:r>
      <w:r>
        <w:rPr>
          <w:b/>
          <w:color w:val="E2E7F0"/>
          <w:spacing w:val="5"/>
          <w:sz w:val="15"/>
        </w:rPr>
        <w:t> </w:t>
      </w:r>
      <w:r>
        <w:rPr>
          <w:b/>
          <w:color w:val="E2E7F0"/>
          <w:spacing w:val="-2"/>
          <w:sz w:val="15"/>
        </w:rPr>
        <w:t>Architect</w:t>
      </w:r>
    </w:p>
    <w:p>
      <w:pPr>
        <w:spacing w:line="160" w:lineRule="exact" w:before="1"/>
        <w:ind w:left="345" w:right="0" w:firstLine="0"/>
        <w:jc w:val="left"/>
        <w:rPr>
          <w:sz w:val="14"/>
        </w:rPr>
      </w:pPr>
      <w:r>
        <w:rPr>
          <w:color w:val="C79059"/>
          <w:w w:val="105"/>
          <w:sz w:val="14"/>
        </w:rPr>
        <w:t>Chegg </w:t>
      </w:r>
      <w:r>
        <w:rPr>
          <w:color w:val="C79059"/>
          <w:spacing w:val="-4"/>
          <w:w w:val="105"/>
          <w:sz w:val="14"/>
        </w:rPr>
        <w:t>Inc.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Oct</w:t>
      </w:r>
      <w:r>
        <w:rPr>
          <w:color w:val="94A2B8"/>
          <w:spacing w:val="-4"/>
          <w:sz w:val="13"/>
        </w:rPr>
        <w:t> </w:t>
      </w:r>
      <w:r>
        <w:rPr>
          <w:color w:val="94A2B8"/>
          <w:sz w:val="13"/>
        </w:rPr>
        <w:t>2013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9"/>
          <w:sz w:val="13"/>
        </w:rPr>
        <w:t> </w:t>
      </w:r>
      <w:r>
        <w:rPr>
          <w:color w:val="94A2B8"/>
          <w:sz w:val="13"/>
        </w:rPr>
        <w:t>Apr</w:t>
      </w:r>
      <w:r>
        <w:rPr>
          <w:color w:val="94A2B8"/>
          <w:spacing w:val="-2"/>
          <w:sz w:val="13"/>
        </w:rPr>
        <w:t> </w:t>
      </w:r>
      <w:r>
        <w:rPr>
          <w:color w:val="94A2B8"/>
          <w:spacing w:val="-4"/>
          <w:sz w:val="13"/>
        </w:rPr>
        <w:t>2014</w:t>
      </w:r>
    </w:p>
    <w:p>
      <w:pPr>
        <w:spacing w:before="102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pacing w:val="-4"/>
          <w:w w:val="105"/>
          <w:sz w:val="15"/>
        </w:rPr>
        <w:t>Technical</w:t>
      </w:r>
      <w:r>
        <w:rPr>
          <w:b/>
          <w:color w:val="E2E7F0"/>
          <w:spacing w:val="7"/>
          <w:w w:val="105"/>
          <w:sz w:val="15"/>
        </w:rPr>
        <w:t> </w:t>
      </w:r>
      <w:r>
        <w:rPr>
          <w:b/>
          <w:color w:val="E2E7F0"/>
          <w:spacing w:val="-2"/>
          <w:w w:val="105"/>
          <w:sz w:val="15"/>
        </w:rPr>
        <w:t>Director</w:t>
      </w:r>
    </w:p>
    <w:p>
      <w:pPr>
        <w:spacing w:line="160" w:lineRule="exact" w:before="2"/>
        <w:ind w:left="345" w:right="0" w:firstLine="0"/>
        <w:jc w:val="left"/>
        <w:rPr>
          <w:sz w:val="14"/>
        </w:rPr>
      </w:pPr>
      <w:r>
        <w:rPr>
          <w:color w:val="C79059"/>
          <w:w w:val="105"/>
          <w:sz w:val="14"/>
        </w:rPr>
        <w:t>Model </w:t>
      </w:r>
      <w:r>
        <w:rPr>
          <w:color w:val="C79059"/>
          <w:spacing w:val="-10"/>
          <w:w w:val="105"/>
          <w:sz w:val="14"/>
        </w:rPr>
        <w:t>N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2011</w:t>
      </w:r>
      <w:r>
        <w:rPr>
          <w:color w:val="94A2B8"/>
          <w:spacing w:val="-7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7"/>
          <w:sz w:val="13"/>
        </w:rPr>
        <w:t> </w:t>
      </w:r>
      <w:r>
        <w:rPr>
          <w:color w:val="94A2B8"/>
          <w:spacing w:val="-4"/>
          <w:sz w:val="13"/>
        </w:rPr>
        <w:t>2013</w:t>
      </w:r>
    </w:p>
    <w:p>
      <w:pPr>
        <w:spacing w:line="290" w:lineRule="auto" w:before="21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Life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Sciences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BI,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cloud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migration,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ETL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2"/>
          <w:sz w:val="14"/>
        </w:rPr>
        <w:t>modularization</w:t>
      </w:r>
    </w:p>
    <w:p>
      <w:pPr>
        <w:spacing w:before="81"/>
        <w:ind w:left="345" w:right="1676" w:firstLine="0"/>
        <w:jc w:val="left"/>
        <w:rPr>
          <w:sz w:val="13"/>
        </w:rPr>
      </w:pPr>
      <w:r>
        <w:rPr>
          <w:b/>
          <w:color w:val="E2E7F0"/>
          <w:spacing w:val="-2"/>
          <w:sz w:val="15"/>
        </w:rPr>
        <w:t>Architect</w:t>
      </w:r>
      <w:r>
        <w:rPr>
          <w:b/>
          <w:color w:val="E2E7F0"/>
          <w:sz w:val="15"/>
        </w:rPr>
        <w:t> </w:t>
      </w:r>
      <w:r>
        <w:rPr>
          <w:color w:val="C79059"/>
          <w:spacing w:val="-2"/>
          <w:sz w:val="14"/>
        </w:rPr>
        <w:t>CallidusCloud</w:t>
      </w:r>
      <w:r>
        <w:rPr>
          <w:color w:val="C79059"/>
          <w:spacing w:val="40"/>
          <w:sz w:val="14"/>
        </w:rPr>
        <w:t> </w:t>
      </w:r>
      <w:r>
        <w:rPr>
          <w:color w:val="94A2B8"/>
          <w:sz w:val="13"/>
        </w:rPr>
        <w:t>2005 – 2011</w:t>
      </w:r>
    </w:p>
    <w:p>
      <w:pPr>
        <w:spacing w:line="290" w:lineRule="auto" w:before="22"/>
        <w:ind w:left="345" w:right="67" w:firstLine="0"/>
        <w:jc w:val="left"/>
        <w:rPr>
          <w:sz w:val="14"/>
        </w:rPr>
      </w:pPr>
      <w:r>
        <w:rPr>
          <w:color w:val="CBD5E1"/>
          <w:sz w:val="14"/>
        </w:rPr>
        <w:t>Incentive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comp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analytics,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BusinessObjects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6"/>
          <w:sz w:val="14"/>
        </w:rPr>
        <w:t>XI</w:t>
      </w:r>
    </w:p>
    <w:p>
      <w:pPr>
        <w:spacing w:before="81"/>
        <w:ind w:left="345" w:right="1440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DW</w:t>
      </w:r>
      <w:r>
        <w:rPr>
          <w:b/>
          <w:color w:val="E2E7F0"/>
          <w:spacing w:val="-11"/>
          <w:w w:val="105"/>
          <w:sz w:val="15"/>
        </w:rPr>
        <w:t> </w:t>
      </w:r>
      <w:r>
        <w:rPr>
          <w:b/>
          <w:color w:val="E2E7F0"/>
          <w:w w:val="105"/>
          <w:sz w:val="15"/>
        </w:rPr>
        <w:t>Architect </w:t>
      </w:r>
      <w:r>
        <w:rPr>
          <w:color w:val="C79059"/>
          <w:w w:val="105"/>
          <w:sz w:val="14"/>
        </w:rPr>
        <w:t>Hewlett</w:t>
      </w:r>
      <w:r>
        <w:rPr>
          <w:color w:val="C79059"/>
          <w:spacing w:val="-11"/>
          <w:w w:val="105"/>
          <w:sz w:val="14"/>
        </w:rPr>
        <w:t> </w:t>
      </w:r>
      <w:r>
        <w:rPr>
          <w:color w:val="C79059"/>
          <w:w w:val="105"/>
          <w:sz w:val="14"/>
        </w:rPr>
        <w:t>Packard </w:t>
      </w:r>
      <w:r>
        <w:rPr>
          <w:color w:val="94A2B8"/>
          <w:w w:val="105"/>
          <w:sz w:val="13"/>
        </w:rPr>
        <w:t>2001 – 2005</w:t>
      </w:r>
    </w:p>
    <w:p>
      <w:pPr>
        <w:spacing w:line="290" w:lineRule="auto" w:before="21"/>
        <w:ind w:left="345" w:right="67" w:firstLine="0"/>
        <w:jc w:val="left"/>
        <w:rPr>
          <w:sz w:val="14"/>
        </w:rPr>
      </w:pPr>
      <w:r>
        <w:rPr>
          <w:color w:val="CBD5E1"/>
          <w:sz w:val="14"/>
        </w:rPr>
        <w:t>Enterprise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DW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+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8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datamarts;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ETL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18→3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hrs; 40–50% sales lift via clickstream</w:t>
      </w:r>
    </w:p>
    <w:p>
      <w:pPr>
        <w:spacing w:before="81"/>
        <w:ind w:left="345" w:right="293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Data Architect / Sr. Engineer </w:t>
      </w:r>
      <w:r>
        <w:rPr>
          <w:color w:val="C79059"/>
          <w:w w:val="105"/>
          <w:sz w:val="14"/>
        </w:rPr>
        <w:t>Xoriant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·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Dept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of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Electronics,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India </w:t>
      </w:r>
      <w:r>
        <w:rPr>
          <w:color w:val="94A2B8"/>
          <w:w w:val="105"/>
          <w:sz w:val="13"/>
        </w:rPr>
        <w:t>1990 – 2001</w:t>
      </w:r>
    </w:p>
    <w:p>
      <w:pPr>
        <w:tabs>
          <w:tab w:pos="6792" w:val="left" w:leader="none"/>
        </w:tabs>
        <w:spacing w:before="76"/>
        <w:ind w:left="345" w:right="0" w:firstLine="0"/>
        <w:jc w:val="left"/>
        <w:rPr>
          <w:i/>
          <w:sz w:val="15"/>
        </w:rPr>
      </w:pPr>
      <w:r>
        <w:rPr/>
        <w:br w:type="column"/>
      </w:r>
      <w:r>
        <w:rPr>
          <w:b/>
          <w:color w:val="1D293B"/>
          <w:sz w:val="19"/>
        </w:rPr>
        <w:t>Lead</w:t>
      </w:r>
      <w:r>
        <w:rPr>
          <w:b/>
          <w:color w:val="1D293B"/>
          <w:spacing w:val="-7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12"/>
          <w:sz w:val="19"/>
        </w:rPr>
        <w:t> </w:t>
      </w:r>
      <w:r>
        <w:rPr>
          <w:b/>
          <w:color w:val="1D293B"/>
          <w:sz w:val="19"/>
        </w:rPr>
        <w:t>Architect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Partner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4"/>
          <w:sz w:val="19"/>
        </w:rPr>
        <w:t> </w:t>
      </w:r>
      <w:r>
        <w:rPr>
          <w:b/>
          <w:color w:val="1D293B"/>
          <w:spacing w:val="-2"/>
          <w:sz w:val="19"/>
        </w:rPr>
        <w:t>Engineering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Jan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2022 – Jan </w:t>
      </w:r>
      <w:r>
        <w:rPr>
          <w:i/>
          <w:color w:val="465469"/>
          <w:spacing w:val="-4"/>
          <w:sz w:val="15"/>
        </w:rPr>
        <w:t>2024</w:t>
      </w:r>
    </w:p>
    <w:p>
      <w:pPr>
        <w:spacing w:before="11"/>
        <w:ind w:left="345" w:right="0" w:firstLine="0"/>
        <w:jc w:val="left"/>
        <w:rPr>
          <w:sz w:val="17"/>
        </w:rPr>
      </w:pPr>
      <w:r>
        <w:rPr>
          <w:color w:val="C79059"/>
          <w:spacing w:val="-2"/>
          <w:sz w:val="17"/>
        </w:rPr>
        <w:t>VMware</w:t>
      </w:r>
    </w:p>
    <w:p>
      <w:pPr>
        <w:spacing w:line="230" w:lineRule="auto" w:before="9"/>
        <w:ind w:left="345" w:right="89" w:firstLine="0"/>
        <w:jc w:val="left"/>
        <w:rPr>
          <w:i/>
          <w:sz w:val="15"/>
        </w:rPr>
      </w:pPr>
      <w:r>
        <w:rPr>
          <w:i/>
          <w:color w:val="465469"/>
          <w:sz w:val="15"/>
        </w:rPr>
        <w:t>Strategic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architect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for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VMware's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Partner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Data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Platform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—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unifying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fragmented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partner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data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into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single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governed</w:t>
      </w:r>
      <w:r>
        <w:rPr>
          <w:i/>
          <w:color w:val="465469"/>
          <w:sz w:val="15"/>
        </w:rPr>
        <w:t> analytics layer</w:t>
      </w:r>
    </w:p>
    <w:p>
      <w:pPr>
        <w:pStyle w:val="Heading2"/>
      </w:pPr>
      <w:r>
        <w:rPr>
          <w:color w:val="1A2E45"/>
        </w:rPr>
        <w:t>Data</w:t>
      </w:r>
      <w:r>
        <w:rPr>
          <w:color w:val="1A2E45"/>
          <w:spacing w:val="-11"/>
        </w:rPr>
        <w:t> </w:t>
      </w:r>
      <w:r>
        <w:rPr>
          <w:color w:val="1A2E45"/>
        </w:rPr>
        <w:t>Architecture</w:t>
      </w:r>
      <w:r>
        <w:rPr>
          <w:color w:val="1A2E45"/>
          <w:spacing w:val="-7"/>
        </w:rPr>
        <w:t> </w:t>
      </w:r>
      <w:r>
        <w:rPr>
          <w:color w:val="1A2E45"/>
        </w:rPr>
        <w:t>&amp;</w:t>
      </w:r>
      <w:r>
        <w:rPr>
          <w:color w:val="1A2E45"/>
          <w:spacing w:val="-6"/>
        </w:rPr>
        <w:t> </w:t>
      </w:r>
      <w:r>
        <w:rPr>
          <w:color w:val="1A2E45"/>
        </w:rPr>
        <w:t>Platform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Unification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2" w:after="0"/>
        <w:ind w:left="510" w:right="17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built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Platform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from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ground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up,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unifying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fragmented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from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10+ disparate sources into a single governed analytics layer — eliminating data silos that had blocked cross-functional decision-making for years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39" w:after="0"/>
        <w:ind w:left="510" w:right="192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intuitive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catalog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model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(Python/Confluence)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drove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broad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self-service adoption, cutting reliance on tribal knowledge by 60% and reducing ad-hoc data request volume to the data team by ~40%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7" w:after="0"/>
        <w:ind w:left="510" w:right="308" w:hanging="165"/>
        <w:jc w:val="both"/>
        <w:rPr>
          <w:color w:val="C79059"/>
          <w:position w:val="1"/>
          <w:sz w:val="11"/>
        </w:rPr>
      </w:pPr>
      <w:r>
        <w:rPr>
          <w:color w:val="1D293B"/>
          <w:sz w:val="16"/>
        </w:rPr>
        <w:t>Implemented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VMware's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first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structured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for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classification,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lineage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tracking, 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policy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enforcement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achieving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audit-ready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status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enabling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pass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reviews without remediation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39" w:after="0"/>
        <w:ind w:left="510" w:right="362" w:hanging="165"/>
        <w:jc w:val="both"/>
        <w:rPr>
          <w:color w:val="C79059"/>
          <w:position w:val="1"/>
          <w:sz w:val="11"/>
        </w:rPr>
      </w:pPr>
      <w:r>
        <w:rPr>
          <w:color w:val="1D293B"/>
          <w:sz w:val="16"/>
        </w:rPr>
        <w:t>Improved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consistency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by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60%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through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standardized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naming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conventions,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automated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quality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checks, 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contracts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directly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downstream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reporting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errors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caused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quarterly </w:t>
      </w:r>
      <w:r>
        <w:rPr>
          <w:color w:val="1D293B"/>
          <w:spacing w:val="-2"/>
          <w:sz w:val="16"/>
        </w:rPr>
        <w:t>restatements</w:t>
      </w:r>
    </w:p>
    <w:p>
      <w:pPr>
        <w:pStyle w:val="Heading2"/>
        <w:spacing w:before="70"/>
        <w:jc w:val="both"/>
      </w:pPr>
      <w:r>
        <w:rPr>
          <w:color w:val="1A2E45"/>
        </w:rPr>
        <w:t>AI</w:t>
      </w:r>
      <w:r>
        <w:rPr>
          <w:color w:val="1A2E45"/>
          <w:spacing w:val="-5"/>
        </w:rPr>
        <w:t> </w:t>
      </w:r>
      <w:r>
        <w:rPr>
          <w:color w:val="1A2E45"/>
        </w:rPr>
        <w:t>&amp;</w:t>
      </w:r>
      <w:r>
        <w:rPr>
          <w:color w:val="1A2E45"/>
          <w:spacing w:val="-5"/>
        </w:rPr>
        <w:t> </w:t>
      </w:r>
      <w:r>
        <w:rPr>
          <w:color w:val="1A2E45"/>
        </w:rPr>
        <w:t>Performance</w:t>
      </w:r>
      <w:r>
        <w:rPr>
          <w:color w:val="1A2E45"/>
          <w:spacing w:val="-4"/>
        </w:rPr>
        <w:t> </w:t>
      </w:r>
      <w:r>
        <w:rPr>
          <w:color w:val="1A2E45"/>
          <w:spacing w:val="-2"/>
        </w:rPr>
        <w:t>Engineering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1" w:after="0"/>
        <w:ind w:left="510" w:right="18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Pioneered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</w:t>
      </w:r>
      <w:r>
        <w:rPr>
          <w:color w:val="1D293B"/>
          <w:spacing w:val="-11"/>
          <w:sz w:val="16"/>
        </w:rPr>
        <w:t> </w:t>
      </w:r>
      <w:r>
        <w:rPr>
          <w:color w:val="1D293B"/>
          <w:sz w:val="16"/>
        </w:rPr>
        <w:t>AI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copilot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for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retrieval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optimization,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coding,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best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practices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one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VMware's earliest LLM-assisted data engineering deployments, reducing routine query development time by ~30%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12" w:lineRule="auto" w:before="46" w:after="0"/>
        <w:ind w:left="510" w:right="188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Achieved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40%+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Spark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processing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time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improvements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through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broadcast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joins,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caching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strategies,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skew management — enabling SLA-critical reports to complete within their delivery windows for the first time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31" w:after="0"/>
        <w:ind w:left="510" w:right="18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Established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automated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monitoring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proactive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alerting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replaced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reactive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firefighting,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pipeline incident response time from hours to minutes and cutting weekend on-call escalations significantly</w:t>
      </w:r>
    </w:p>
    <w:p>
      <w:pPr>
        <w:pStyle w:val="Heading2"/>
        <w:spacing w:before="77"/>
      </w:pPr>
      <w:r>
        <w:rPr>
          <w:color w:val="1A2E45"/>
        </w:rPr>
        <w:t>Leadership</w:t>
      </w:r>
      <w:r>
        <w:rPr>
          <w:color w:val="1A2E45"/>
          <w:spacing w:val="-12"/>
        </w:rPr>
        <w:t> </w:t>
      </w:r>
      <w:r>
        <w:rPr>
          <w:color w:val="1A2E45"/>
        </w:rPr>
        <w:t>&amp;</w:t>
      </w:r>
      <w:r>
        <w:rPr>
          <w:color w:val="1A2E45"/>
          <w:spacing w:val="-9"/>
        </w:rPr>
        <w:t> </w:t>
      </w:r>
      <w:r>
        <w:rPr>
          <w:color w:val="1A2E45"/>
        </w:rPr>
        <w:t>Cross-Functional</w:t>
      </w:r>
      <w:r>
        <w:rPr>
          <w:color w:val="1A2E45"/>
          <w:spacing w:val="-11"/>
        </w:rPr>
        <w:t> </w:t>
      </w:r>
      <w:r>
        <w:rPr>
          <w:color w:val="1A2E45"/>
          <w:spacing w:val="-2"/>
        </w:rPr>
        <w:t>Alignment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1" w:after="0"/>
        <w:ind w:left="510" w:right="73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Drove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alignment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across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5+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via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shared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roadmaps,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duplicate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 development efforts by ~25% and accelerating delivery cycles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6" w:after="0"/>
        <w:ind w:left="510" w:right="721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Led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workshops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knowledge-sharing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sessions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upskilled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30+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consumers,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building organizational data literacy and reducing the "data team as bottleneck" pattern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12" w:lineRule="auto" w:before="46" w:after="0"/>
        <w:ind w:left="510" w:right="343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Engaged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director/VP-level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stakeholders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define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unified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vision,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securing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budget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headcount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for the platform roadmap — resulting in the team growing from 3 to 8 engineers during the engagement</w:t>
      </w:r>
    </w:p>
    <w:p>
      <w:pPr>
        <w:pStyle w:val="ListParagraph"/>
        <w:spacing w:after="0" w:line="312" w:lineRule="auto"/>
        <w:jc w:val="left"/>
        <w:rPr>
          <w:position w:val="1"/>
          <w:sz w:val="11"/>
        </w:rPr>
        <w:sectPr>
          <w:pgSz w:w="12240" w:h="15840"/>
          <w:pgMar w:top="420" w:bottom="0" w:left="0" w:right="360"/>
          <w:cols w:num="2" w:equalWidth="0">
            <w:col w:w="3128" w:space="415"/>
            <w:col w:w="8337"/>
          </w:cols>
        </w:sectPr>
      </w:pPr>
    </w:p>
    <w:p>
      <w:pPr>
        <w:tabs>
          <w:tab w:pos="10359" w:val="left" w:leader="none"/>
        </w:tabs>
        <w:spacing w:before="153"/>
        <w:ind w:left="3887" w:right="0" w:firstLine="0"/>
        <w:jc w:val="left"/>
        <w:rPr>
          <w:i/>
          <w:sz w:val="15"/>
        </w:rPr>
      </w:pPr>
      <w:r>
        <w:rPr>
          <w:i/>
          <w:sz w:val="15"/>
        </w:rPr>
        <w:t xml:space="preserve">Data Engineer (Consultant)	Oct 2015 – Dec 2021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4"/>
          <w:sz w:val="17"/>
        </w:rPr>
        <w:t xml:space="preserve">Meta</w:t>
      </w:r>
    </w:p>
    <w:p>
      <w:pPr>
        <w:spacing w:line="230" w:lineRule="auto" w:before="9"/>
        <w:ind w:left="3887" w:right="75" w:firstLine="0"/>
        <w:jc w:val="left"/>
        <w:rPr>
          <w:i/>
          <w:sz w:val="15"/>
        </w:rPr>
      </w:pPr>
      <w:r>
        <w:rPr>
          <w:i/>
          <w:color w:val="465469"/>
          <w:sz w:val="15"/>
        </w:rPr>
        <w:t xml:space="preserve">Performance, query-engine migration and reliability across Meta's ads, integrity, commerce and marketing data</w:t>
      </w:r>
    </w:p>
    <w:p>
      <w:pPr>
        <w:pStyle w:val="Heading2"/>
        <w:spacing w:before="74"/>
        <w:ind w:left="3917"/>
      </w:pPr>
      <w:r>
        <w:rPr>
          <w:color w:val="1A2E45"/>
        </w:rPr>
        <w:t xml:space="preserve">Performance &amp; Cost Engineering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Cut a critical ads pipeline from 5 hours to under 1 hour by decomposing serial split tasks into 30 parallel threads — recovering ~4 hours of daily batch window on a revenue-reporting dependency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Brought a pipeline blocked at 10× its CPU budget back within quota through query optimization, unblocking a stalled finance reporting flow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Cut data scanned per run ~30× on a high-cardinality user dimension check by narrowing a full-month partition scan to a single day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Resolved repeated evictions from CPU overage and eliminated recurring out-of-memory failures on high-volume ad conversion fact tables through timestamp-partition parallelization with signal-based synchronization</w:t>
      </w:r>
    </w:p>
    <w:p>
      <w:pPr>
        <w:pStyle w:val="Heading2"/>
        <w:spacing w:before="74"/>
        <w:ind w:left="3917"/>
      </w:pPr>
      <w:r>
        <w:rPr>
          <w:color w:val="1A2E45"/>
        </w:rPr>
        <w:t xml:space="preserve">Query Engine Migration &amp; Judgment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Migrated 89 production pipelines from Hive to Spark and Presto over 11 months (~8/month sustained) — datelist, cube and funnel workloads across ads, integrity, commerce and marketing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Benchmarked rather than assumed: on one workload Spark failed 40 times and ran 50+ minutes while Presto finished in under 30 — shipped Presto with documented evidence, avoiding a slower, failure-prone pipeline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Extended the funnel framework to support Spark as a query engine, making the migration path reusable for other teams rather than a one-off conversion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Tuned Spark execution profiles — dynamic allocation, bucketing, partition-strategy overrides, executor and driver memory — resolving conversions that failed on JVM heap limits rather than query logic</w:t>
      </w:r>
    </w:p>
    <w:p>
      <w:pPr>
        <w:pStyle w:val="Heading2"/>
        <w:spacing w:before="74"/>
        <w:ind w:left="3917"/>
      </w:pPr>
      <w:r>
        <w:rPr>
          <w:color w:val="1A2E45"/>
        </w:rPr>
        <w:t xml:space="preserve">Commerce, Privacy &amp; Reliability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Designed and launched the Category Management Data Warehouse and owned the SMB funnel redesign, improving query performance 3x while scaling to tens of thousands of small-business advertisers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Led privacy remediation across 1,200+ SMB 2.0, Customer Journey and BPO tables, and drove Salesforce ID deprecation across 1,000+ pipelines — eliminating an external vendor dependency affecting ~15% of cross-system joins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Carried pipeline oncall across ~200 incidents with root-cause fixes rather than restarts; delivered ~50 privacy and compliance remediations and reduced storage cost across ~60 retention and cleanup engagements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Built chargeback representment and leakage dashboards, and a Marketplace reliability dashboard covering payins/payouts — surfacing previously undetected revenue leakage and cutting MTTR by replacing manual log analysis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 xml:space="preserve">Recognized by 45 colleagues across 53 peer commendations for debugging, escalation and cross-team unblocking across ads, payments, commerce, marketplace and privacy</w:t>
      </w:r>
    </w:p>
    <w:p>
      <w:pPr>
        <w:pStyle w:val="ListParagraph"/>
        <w:spacing w:after="0" w:line="292" w:lineRule="auto"/>
        <w:jc w:val="left"/>
        <w:rPr>
          <w:position w:val="3"/>
          <w:sz w:val="11"/>
        </w:rPr>
        <w:sectPr>
          <w:type w:val="continuous"/>
          <w:pgSz w:w="12240" w:h="15840"/>
          <w:pgMar w:top="420" w:bottom="280" w:left="0" w:right="360"/>
        </w:sectPr>
      </w:pPr>
    </w:p>
    <w:p>
      <w:pPr>
        <w:spacing w:before="83"/>
        <w:ind w:left="3887" w:right="0" w:firstLine="0"/>
        <w:jc w:val="left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46035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7772400" cy="10058400"/>
                          <a:chExt cx="7772400" cy="1005840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11"/>
                            <a:ext cx="77724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0058400">
                                <a:moveTo>
                                  <a:pt x="77723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6675"/>
                                </a:lnTo>
                                <a:lnTo>
                                  <a:pt x="2190737" y="66675"/>
                                </a:lnTo>
                                <a:lnTo>
                                  <a:pt x="2190737" y="10058387"/>
                                </a:lnTo>
                                <a:lnTo>
                                  <a:pt x="7772387" y="10058387"/>
                                </a:lnTo>
                                <a:lnTo>
                                  <a:pt x="7772387" y="66675"/>
                                </a:lnTo>
                                <a:lnTo>
                                  <a:pt x="77723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B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66673"/>
                            <a:ext cx="2190750" cy="9991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9991725">
                                <a:moveTo>
                                  <a:pt x="2190749" y="9991724"/>
                                </a:moveTo>
                                <a:lnTo>
                                  <a:pt x="0" y="9991724"/>
                                </a:lnTo>
                                <a:lnTo>
                                  <a:pt x="0" y="0"/>
                                </a:lnTo>
                                <a:lnTo>
                                  <a:pt x="2190749" y="0"/>
                                </a:lnTo>
                                <a:lnTo>
                                  <a:pt x="2190749" y="9991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E4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68pt;width:612pt;height:792pt;mso-position-horizontal-relative:page;mso-position-vertical-relative:page;z-index:-15856128" id="docshapegroup62" coordorigin="0,0" coordsize="12240,15840">
                <v:shape style="position:absolute;left:0;top:0;width:12240;height:15840" id="docshape63" coordorigin="0,0" coordsize="12240,15840" path="m12240,0l0,0,0,105,3450,105,3450,15840,12240,15840,12240,105,12240,0xe" filled="true" fillcolor="#fefbf9" stroked="false">
                  <v:path arrowok="t"/>
                  <v:fill type="solid"/>
                </v:shape>
                <v:rect style="position:absolute;left:0;top:105;width:3450;height:15735" id="docshape64" filled="true" fillcolor="#1a2e45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O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L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X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P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pacing w:val="-10"/>
          <w:sz w:val="14"/>
        </w:rPr>
        <w:t>E</w:t>
      </w:r>
    </w:p>
    <w:p>
      <w:pPr>
        <w:tabs>
          <w:tab w:pos="10323" w:val="left" w:leader="none"/>
        </w:tabs>
        <w:spacing w:before="95"/>
        <w:ind w:left="3887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>Data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Engineer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pacing w:val="-2"/>
          <w:sz w:val="19"/>
        </w:rPr>
        <w:t>Consultant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Dec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2017 –</w:t>
      </w:r>
      <w:r>
        <w:rPr>
          <w:i/>
          <w:color w:val="465469"/>
          <w:spacing w:val="-6"/>
          <w:sz w:val="15"/>
        </w:rPr>
        <w:t> </w:t>
      </w:r>
      <w:r>
        <w:rPr>
          <w:i/>
          <w:color w:val="465469"/>
          <w:sz w:val="15"/>
        </w:rPr>
        <w:t>Apr </w:t>
      </w:r>
      <w:r>
        <w:rPr>
          <w:i/>
          <w:color w:val="465469"/>
          <w:spacing w:val="-4"/>
          <w:sz w:val="15"/>
        </w:rPr>
        <w:t>2018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2"/>
          <w:sz w:val="17"/>
        </w:rPr>
        <w:t>LinkedIn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12" w:lineRule="auto" w:before="24" w:after="0"/>
        <w:ind w:left="4052" w:right="515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Led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GDPR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efforts: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encrypted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sensitive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customer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LinkedIn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Dali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storage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using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Hive, Python, and Pig; retired legacy data sources and feeds; migrated to a stable, compliant framework</w:t>
      </w:r>
    </w:p>
    <w:sectPr>
      <w:pgSz w:w="12240" w:h="15840"/>
      <w:pgMar w:top="160" w:bottom="280" w:left="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Segoe UI Symbol">
    <w:altName w:val="Segoe UI Symbol"/>
    <w:charset w:val="0"/>
    <w:family w:val="swiss"/>
    <w:pitch w:val="variable"/>
  </w:font>
  <w:font w:name="Courier New">
    <w:altName w:val="Courier New"/>
    <w:charset w:val="0"/>
    <w:family w:val="modern"/>
    <w:pitch w:val="fixed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▪"/>
      <w:lvlJc w:val="left"/>
      <w:pPr>
        <w:ind w:left="510" w:hanging="165"/>
      </w:pPr>
      <w:rPr>
        <w:rFonts w:hint="default" w:ascii="Arial" w:hAnsi="Arial" w:eastAsia="Arial" w:cs="Arial"/>
        <w:spacing w:val="0"/>
        <w:w w:val="100"/>
        <w:lang w:val="en-US" w:eastAsia="en-US" w:bidi="ar-SA"/>
      </w:rPr>
    </w:lvl>
    <w:lvl w:ilvl="1">
      <w:start w:val="0"/>
      <w:numFmt w:val="bullet"/>
      <w:lvlText w:val="▪"/>
      <w:lvlJc w:val="left"/>
      <w:pPr>
        <w:ind w:left="4052" w:hanging="165"/>
      </w:pPr>
      <w:rPr>
        <w:rFonts w:hint="default" w:ascii="Arial" w:hAnsi="Arial" w:eastAsia="Arial" w:cs="Arial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4535" w:hanging="1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010" w:hanging="1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485" w:hanging="1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61" w:hanging="1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36" w:hanging="1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11" w:hanging="1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87" w:hanging="16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480" w:hanging="135"/>
      </w:pPr>
      <w:rPr>
        <w:rFonts w:hint="default" w:ascii="Arial" w:hAnsi="Arial" w:eastAsia="Arial" w:cs="Arial"/>
        <w:b w:val="0"/>
        <w:bCs w:val="0"/>
        <w:i w:val="0"/>
        <w:iCs w:val="0"/>
        <w:color w:val="C79059"/>
        <w:spacing w:val="0"/>
        <w:w w:val="105"/>
        <w:sz w:val="14"/>
        <w:szCs w:val="1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37" w:hanging="1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95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53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11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769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26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284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542" w:hanging="135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41"/>
      <w:ind w:hanging="165"/>
    </w:pPr>
    <w:rPr>
      <w:rFonts w:ascii="Arial" w:hAnsi="Arial" w:eastAsia="Arial" w:cs="Arial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8"/>
      <w:ind w:left="345"/>
      <w:outlineLvl w:val="1"/>
    </w:pPr>
    <w:rPr>
      <w:rFonts w:ascii="Times New Roman" w:hAnsi="Times New Roman" w:eastAsia="Times New Roman" w:cs="Times New Roman"/>
      <w:b/>
      <w:bCs/>
      <w:sz w:val="50"/>
      <w:szCs w:val="5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3"/>
      <w:ind w:left="375"/>
      <w:outlineLvl w:val="2"/>
    </w:pPr>
    <w:rPr>
      <w:rFonts w:ascii="Arial" w:hAnsi="Arial" w:eastAsia="Arial" w:cs="Arial"/>
      <w:b/>
      <w:bCs/>
      <w:sz w:val="16"/>
      <w:szCs w:val="1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40"/>
      <w:ind w:left="510" w:hanging="165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file://localhost/cdn-cgi/l/email-protection" TargetMode="External"/><Relationship Id="rId6" Type="http://schemas.openxmlformats.org/officeDocument/2006/relationships/hyperlink" Target="https://www.linkedin.com/in/paddyiyer" TargetMode="External"/><Relationship Id="rId7" Type="http://schemas.openxmlformats.org/officeDocument/2006/relationships/hyperlink" Target="https://paddyspeaks.com/" TargetMode="External"/><Relationship Id="rId8" Type="http://schemas.openxmlformats.org/officeDocument/2006/relationships/hyperlink" Target="https://github.com/paddyriyer" TargetMode="External"/><Relationship Id="rId9" Type="http://schemas.openxmlformats.org/officeDocument/2006/relationships/image" Target="media/image1.png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Paddy Iyer — Resume (Detailed)</dc:title>
  <dcterms:created xsi:type="dcterms:W3CDTF">2026-04-09T22:10:09Z</dcterms:created>
  <dcterms:modified xsi:type="dcterms:W3CDTF">2026-04-09T22:10:09Z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2026-04-09T00:00:00Z</vt:filetime>
  </property>
  <property fmtid="{D5CDD505-2E9C-101B-9397-08002B2CF9AE}" pid="3" name="Creator">
    <vt:lpwstr>Mozilla/5.0 (X11; Linux x86_64) AppleWebKit/537.36 (KHTML, like Gecko) HeadlessChrome/131.0.0.0 Safari/537.36</vt:lpwstr>
  </property>
  <property fmtid="{D5CDD505-2E9C-101B-9397-08002B2CF9AE}" pid="4" name="LastSaved">
    <vt:filetime>2026-04-09T00:00:00Z</vt:filetime>
  </property>
  <property fmtid="{D5CDD505-2E9C-101B-9397-08002B2CF9AE}" pid="5" name="Producer">
    <vt:lpwstr>Skia/PDF m131</vt:lpwstr>
  </property>
</Properties>
</file>