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579F34" w14:textId="77777777" w:rsidR="004E45B8" w:rsidRDefault="004E45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520" w:type="dxa"/>
        <w:tblInd w:w="0" w:type="dxa"/>
        <w:tblBorders>
          <w:top w:val="nil"/>
          <w:left w:val="nil"/>
          <w:bottom w:val="nil"/>
          <w:right w:val="nil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00"/>
        <w:gridCol w:w="8420"/>
      </w:tblGrid>
      <w:tr w:rsidR="004E45B8" w14:paraId="5AB57727" w14:textId="77777777"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shd w:val="clear" w:color="auto" w:fill="1C2B45"/>
            <w:tcMar>
              <w:top w:w="200" w:type="dxa"/>
              <w:left w:w="220" w:type="dxa"/>
              <w:bottom w:w="240" w:type="dxa"/>
              <w:right w:w="200" w:type="dxa"/>
            </w:tcMar>
          </w:tcPr>
          <w:p w14:paraId="3C834BDB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CONTACT</w:t>
            </w:r>
          </w:p>
          <w:p w14:paraId="1401F2B8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C9956B"/>
                <w:sz w:val="16"/>
                <w:szCs w:val="16"/>
              </w:rPr>
              <w:t xml:space="preserve">[ add email — see </w:t>
            </w:r>
            <w:proofErr w:type="gramStart"/>
            <w:r>
              <w:rPr>
                <w:b/>
                <w:bCs/>
                <w:color w:val="C9956B"/>
                <w:sz w:val="16"/>
                <w:szCs w:val="16"/>
              </w:rPr>
              <w:t>note ]</w:t>
            </w:r>
            <w:proofErr w:type="gramEnd"/>
          </w:p>
          <w:p w14:paraId="29C93CC2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linkedin.com/in/paddyiyer</w:t>
            </w:r>
          </w:p>
          <w:p w14:paraId="282CB5FF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paddyspeaks.com</w:t>
            </w:r>
          </w:p>
          <w:p w14:paraId="564EB11B" w14:textId="77777777" w:rsidR="004E45B8" w:rsidRDefault="00000000">
            <w:pPr>
              <w:spacing w:after="40" w:line="220" w:lineRule="auto"/>
            </w:pPr>
            <w:r>
              <w:rPr>
                <w:color w:val="DCE1EA"/>
                <w:sz w:val="16"/>
                <w:szCs w:val="16"/>
              </w:rPr>
              <w:t>github.com/paddyriyer</w:t>
            </w:r>
          </w:p>
          <w:p w14:paraId="23ED3EDD" w14:textId="77777777" w:rsidR="004E45B8" w:rsidRDefault="00000000">
            <w:pPr>
              <w:spacing w:after="80" w:line="220" w:lineRule="auto"/>
            </w:pPr>
            <w:r>
              <w:rPr>
                <w:color w:val="DCE1EA"/>
                <w:sz w:val="16"/>
                <w:szCs w:val="16"/>
              </w:rPr>
              <w:t>San Francisco Bay Area</w:t>
            </w:r>
          </w:p>
          <w:p w14:paraId="5F9166E5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TECHNICAL SKILLS</w:t>
            </w:r>
          </w:p>
          <w:p w14:paraId="68254B63" w14:textId="77777777" w:rsidR="004E45B8" w:rsidRDefault="00000000">
            <w:pPr>
              <w:spacing w:after="60" w:line="300" w:lineRule="auto"/>
            </w:pPr>
            <w:r>
              <w:rPr>
                <w:color w:val="DCE1EA"/>
                <w:sz w:val="15"/>
                <w:szCs w:val="15"/>
                <w:shd w:val="clear" w:color="auto" w:fill="2B3D5C"/>
              </w:rPr>
              <w:t> Spark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Hive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Hadoop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Databricks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Delta Lake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Snowflake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Redshift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dbt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Airflow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Dataswarm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AWS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Azure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GCP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Terraform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Kubernetes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Python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SQL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Scala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LLM/RAG Pipelines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Claude Code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AI Agents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Prompt Eng.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LangChain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GitHub Copilot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MLflow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Diff. Privacy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Unity Catalog 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color w:val="DCE1EA"/>
                <w:sz w:val="15"/>
                <w:szCs w:val="15"/>
                <w:shd w:val="clear" w:color="auto" w:fill="2B3D5C"/>
              </w:rPr>
              <w:t> Data Mesh </w:t>
            </w:r>
          </w:p>
          <w:p w14:paraId="79C9F9E4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EDUCATION</w:t>
            </w:r>
          </w:p>
          <w:p w14:paraId="5484935E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Data Engineering Cert.</w:t>
            </w:r>
          </w:p>
          <w:p w14:paraId="7D165A6E" w14:textId="77777777" w:rsidR="004E45B8" w:rsidRDefault="00000000">
            <w:pPr>
              <w:spacing w:after="70" w:line="220" w:lineRule="auto"/>
            </w:pPr>
            <w:r>
              <w:rPr>
                <w:color w:val="94A1B8"/>
                <w:sz w:val="16"/>
                <w:szCs w:val="16"/>
              </w:rPr>
              <w:t>UC Santa Cruz, 2013–14</w:t>
            </w:r>
          </w:p>
          <w:p w14:paraId="5D9833A2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B.S. Electrical Engineering</w:t>
            </w:r>
          </w:p>
          <w:p w14:paraId="3301A97D" w14:textId="77777777" w:rsidR="004E45B8" w:rsidRDefault="00000000">
            <w:pPr>
              <w:spacing w:after="70" w:line="220" w:lineRule="auto"/>
            </w:pPr>
            <w:r>
              <w:rPr>
                <w:color w:val="94A1B8"/>
                <w:sz w:val="16"/>
                <w:szCs w:val="16"/>
              </w:rPr>
              <w:t>Sardar Patel College of Eng.</w:t>
            </w:r>
          </w:p>
          <w:p w14:paraId="61CFFFDE" w14:textId="77777777" w:rsidR="004E45B8" w:rsidRDefault="00000000">
            <w:pPr>
              <w:spacing w:after="40" w:line="22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Diploma, Electronics &amp; Comms</w:t>
            </w:r>
          </w:p>
          <w:p w14:paraId="0397D13A" w14:textId="77777777" w:rsidR="004E45B8" w:rsidRDefault="00000000">
            <w:pPr>
              <w:spacing w:after="80" w:line="220" w:lineRule="auto"/>
            </w:pPr>
            <w:r>
              <w:rPr>
                <w:color w:val="94A1B8"/>
                <w:sz w:val="16"/>
                <w:szCs w:val="16"/>
              </w:rPr>
              <w:t>Technical Board, Tamil Nadu</w:t>
            </w:r>
          </w:p>
          <w:p w14:paraId="72424EEC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PUBLICATIONS</w:t>
            </w:r>
          </w:p>
          <w:p w14:paraId="74DA9E0E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Cloud Computing</w:t>
            </w:r>
          </w:p>
          <w:p w14:paraId="01EE75B4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All About Big Data</w:t>
            </w:r>
          </w:p>
          <w:p w14:paraId="34261C2F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Future Trends in BI</w:t>
            </w:r>
          </w:p>
          <w:p w14:paraId="35140DD8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AI &amp; THOUGHT LEADERSHIP</w:t>
            </w:r>
          </w:p>
          <w:p w14:paraId="5D63EEF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160+ articles on paddyspeaks.com</w:t>
            </w:r>
          </w:p>
          <w:p w14:paraId="5DD41961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Claude Code skill development</w:t>
            </w:r>
          </w:p>
          <w:p w14:paraId="2CDE844B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Vibe coding methodology</w:t>
            </w:r>
          </w:p>
          <w:p w14:paraId="6F85F3DB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AI agent architecture writing</w:t>
            </w:r>
          </w:p>
          <w:p w14:paraId="00E904C2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OPEN-SOURCE &amp; COMMUNITY</w:t>
            </w:r>
          </w:p>
          <w:p w14:paraId="0668450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Interview Studio — free Data &amp; AI Engineering prep</w:t>
            </w:r>
          </w:p>
          <w:p w14:paraId="692D842C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22 data-model deep-dives + 1,500+ questions</w:t>
            </w:r>
          </w:p>
          <w:p w14:paraId="123474C6" w14:textId="77777777" w:rsidR="004E45B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6" w:line="218" w:lineRule="auto"/>
            </w:pPr>
            <w:r>
              <w:rPr>
                <w:color w:val="DCE1EA"/>
                <w:sz w:val="16"/>
                <w:szCs w:val="16"/>
              </w:rPr>
              <w:t>In-browser SQL / Python (WASM), no backend</w:t>
            </w:r>
          </w:p>
          <w:p w14:paraId="01709791" w14:textId="77777777" w:rsidR="004E45B8" w:rsidRDefault="00000000">
            <w:pPr>
              <w:pBdr>
                <w:bottom w:val="single" w:sz="4" w:space="3" w:color="55678A"/>
              </w:pBdr>
              <w:spacing w:before="200" w:after="80"/>
            </w:pPr>
            <w:r>
              <w:rPr>
                <w:b/>
                <w:bCs/>
                <w:color w:val="C9956B"/>
                <w:sz w:val="16"/>
                <w:szCs w:val="16"/>
              </w:rPr>
              <w:t>EARLIER CAREER</w:t>
            </w:r>
          </w:p>
          <w:p w14:paraId="57733BAA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Engineer Consultant</w:t>
            </w:r>
          </w:p>
          <w:p w14:paraId="7AC4C61E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LinkedIn</w:t>
            </w:r>
          </w:p>
          <w:p w14:paraId="69F15EA3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Dec 2017 – Apr 2018</w:t>
            </w:r>
          </w:p>
          <w:p w14:paraId="6BC88913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GDPR compliance — PII encryption into Dali storage (Hive, Python, Pig)</w:t>
            </w:r>
          </w:p>
          <w:p w14:paraId="073F9365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Lead Data Engineer</w:t>
            </w:r>
          </w:p>
          <w:p w14:paraId="2D0635FA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Meta</w:t>
            </w:r>
          </w:p>
          <w:p w14:paraId="625178B5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Sep 2015 – Sep 2017</w:t>
            </w:r>
          </w:p>
          <w:p w14:paraId="6A909D21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80+ Dataswarm pipelines for petabyte-scale ads; Cross Device Insights, Outcomes Datamart + Norms DB</w:t>
            </w:r>
          </w:p>
          <w:p w14:paraId="48E8F1F9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Engineer</w:t>
            </w:r>
          </w:p>
          <w:p w14:paraId="2B97C862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GREE International</w:t>
            </w:r>
          </w:p>
          <w:p w14:paraId="78EF12CB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2014 – 2015</w:t>
            </w:r>
          </w:p>
          <w:p w14:paraId="06B0E29F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PII masking, Vertica→Redshift, 1,000+ table optimization</w:t>
            </w:r>
          </w:p>
          <w:p w14:paraId="4AF29E64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Data Architect</w:t>
            </w:r>
          </w:p>
          <w:p w14:paraId="58B337BF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lastRenderedPageBreak/>
              <w:t>Chegg Inc.</w:t>
            </w:r>
          </w:p>
          <w:p w14:paraId="6E6E76EC" w14:textId="77777777" w:rsidR="004E45B8" w:rsidRDefault="00000000">
            <w:pPr>
              <w:spacing w:after="40"/>
            </w:pPr>
            <w:r>
              <w:rPr>
                <w:color w:val="94A1B8"/>
                <w:sz w:val="15"/>
                <w:szCs w:val="15"/>
              </w:rPr>
              <w:t>Oct 2013 – Apr 2014</w:t>
            </w:r>
          </w:p>
          <w:p w14:paraId="1ED52217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Technical Director</w:t>
            </w:r>
          </w:p>
          <w:p w14:paraId="71898479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Model N</w:t>
            </w:r>
          </w:p>
          <w:p w14:paraId="43AC1808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2011 – 2013</w:t>
            </w:r>
          </w:p>
          <w:p w14:paraId="3C22D155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Life Sciences BI, cloud migration, ETL modularization</w:t>
            </w:r>
          </w:p>
          <w:p w14:paraId="1EC58F56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Architect</w:t>
            </w:r>
          </w:p>
          <w:p w14:paraId="1C188779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CallidusCloud</w:t>
            </w:r>
          </w:p>
          <w:p w14:paraId="7411ED64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2005 – 2011</w:t>
            </w:r>
          </w:p>
          <w:p w14:paraId="6ECD1D9F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Incentive comp analytics, BusinessObjects XI</w:t>
            </w:r>
          </w:p>
          <w:p w14:paraId="4DF6462F" w14:textId="77777777" w:rsidR="004E45B8" w:rsidRDefault="00000000">
            <w:pPr>
              <w:spacing w:before="90" w:after="6"/>
            </w:pPr>
            <w:r>
              <w:rPr>
                <w:b/>
                <w:bCs/>
                <w:color w:val="FFFFFF"/>
                <w:sz w:val="17"/>
                <w:szCs w:val="17"/>
              </w:rPr>
              <w:t>DW Architect</w:t>
            </w:r>
          </w:p>
          <w:p w14:paraId="7BEF68CA" w14:textId="77777777" w:rsidR="004E45B8" w:rsidRDefault="00000000">
            <w:pPr>
              <w:spacing w:after="6"/>
            </w:pPr>
            <w:r>
              <w:rPr>
                <w:color w:val="C9956B"/>
                <w:sz w:val="16"/>
                <w:szCs w:val="16"/>
              </w:rPr>
              <w:t>Hewlett Packard</w:t>
            </w:r>
          </w:p>
          <w:p w14:paraId="2A9406EB" w14:textId="77777777" w:rsidR="004E45B8" w:rsidRDefault="00000000">
            <w:pPr>
              <w:spacing w:after="6"/>
            </w:pPr>
            <w:r>
              <w:rPr>
                <w:color w:val="94A1B8"/>
                <w:sz w:val="15"/>
                <w:szCs w:val="15"/>
              </w:rPr>
              <w:t>2001 – 2005</w:t>
            </w:r>
          </w:p>
          <w:p w14:paraId="0BDA30AD" w14:textId="77777777" w:rsidR="004E45B8" w:rsidRDefault="00000000">
            <w:pPr>
              <w:spacing w:after="40" w:line="215" w:lineRule="auto"/>
            </w:pPr>
            <w:r>
              <w:rPr>
                <w:color w:val="DCE1EA"/>
                <w:sz w:val="15"/>
                <w:szCs w:val="15"/>
              </w:rPr>
              <w:t>Enterprise DW + 8 datamarts; ETL 18→3 hrs; 40–50% sales lift via clickstream</w:t>
            </w:r>
          </w:p>
        </w:tc>
        <w:tc>
          <w:tcPr>
            <w:tcW w:w="8420" w:type="dxa"/>
            <w:tcBorders>
              <w:top w:val="nil"/>
              <w:left w:val="nil"/>
              <w:bottom w:val="nil"/>
              <w:right w:val="nil"/>
            </w:tcBorders>
            <w:shd w:val="clear" w:color="auto" w:fill="FDFBF4"/>
            <w:tcMar>
              <w:top w:w="200" w:type="dxa"/>
              <w:left w:w="280" w:type="dxa"/>
              <w:bottom w:w="200" w:type="dxa"/>
              <w:right w:w="160" w:type="dxa"/>
            </w:tcMar>
          </w:tcPr>
          <w:p w14:paraId="4C8A2561" w14:textId="77777777" w:rsidR="004E45B8" w:rsidRDefault="00000000">
            <w:pPr>
              <w:spacing w:after="30"/>
            </w:pPr>
            <w:r>
              <w:rPr>
                <w:rFonts w:ascii="Georgia" w:eastAsia="Georgia" w:hAnsi="Georgia" w:cs="Georgia"/>
                <w:b/>
                <w:bCs/>
                <w:color w:val="1C2B45"/>
                <w:sz w:val="56"/>
                <w:szCs w:val="56"/>
              </w:rPr>
              <w:lastRenderedPageBreak/>
              <w:t>Paddy Iyer</w:t>
            </w:r>
          </w:p>
          <w:p w14:paraId="6AC8CD7B" w14:textId="77777777" w:rsidR="004E45B8" w:rsidRDefault="00000000">
            <w:pPr>
              <w:spacing w:after="90"/>
            </w:pPr>
            <w:r>
              <w:rPr>
                <w:b/>
                <w:bCs/>
                <w:color w:val="C9956B"/>
                <w:sz w:val="16"/>
                <w:szCs w:val="16"/>
              </w:rPr>
              <w:t>DATA ENGINEERING LEADER · STRATEGIC DATA ARCHITECT · AI &amp; PRIVACY ENGINEERING · AI INNOVATOR</w:t>
            </w:r>
          </w:p>
          <w:p w14:paraId="347FE052" w14:textId="77777777" w:rsidR="004E45B8" w:rsidRDefault="00000000">
            <w:pPr>
              <w:spacing w:after="60" w:line="250" w:lineRule="auto"/>
            </w:pPr>
            <w:r>
              <w:t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</w:p>
          <w:p w14:paraId="28CD6E33" w14:textId="77777777" w:rsidR="004E45B8" w:rsidRDefault="00000000">
            <w:pPr>
              <w:spacing w:before="60" w:after="100" w:line="320" w:lineRule="auto"/>
            </w:pPr>
            <w:r>
              <w:rPr>
                <w:color w:val="4A5A75"/>
                <w:sz w:val="17"/>
                <w:szCs w:val="17"/>
                <w:shd w:val="clear" w:color="auto" w:fill="F3ECDC"/>
              </w:rPr>
              <w:t> Modern Data Architecture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Privacy-First Design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Consent Architecture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AI Agents &amp; LLM Pipelines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Prompt Engineering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Data Governance (C1–C5)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Petabyte-Scale Systems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Global Team Leadership </w:t>
            </w:r>
            <w:r>
              <w:rPr>
                <w:sz w:val="17"/>
                <w:szCs w:val="17"/>
              </w:rPr>
              <w:t xml:space="preserve">  </w:t>
            </w:r>
            <w:r>
              <w:rPr>
                <w:color w:val="4A5A75"/>
                <w:sz w:val="17"/>
                <w:szCs w:val="17"/>
                <w:shd w:val="clear" w:color="auto" w:fill="F3ECDC"/>
              </w:rPr>
              <w:t> Data Storytelling </w:t>
            </w:r>
          </w:p>
          <w:p w14:paraId="6C096E25" w14:textId="77777777" w:rsidR="004E45B8" w:rsidRDefault="00000000">
            <w:pPr>
              <w:pBdr>
                <w:bottom w:val="single" w:sz="6" w:space="3" w:color="C29345"/>
              </w:pBdr>
              <w:spacing w:before="220" w:after="90"/>
            </w:pPr>
            <w:r>
              <w:rPr>
                <w:b/>
                <w:bCs/>
                <w:color w:val="C29345"/>
                <w:sz w:val="19"/>
                <w:szCs w:val="19"/>
              </w:rPr>
              <w:t>FEATURED EXPERIENCE</w:t>
            </w:r>
          </w:p>
          <w:p w14:paraId="40D3768E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Privacy Data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Engineering</w:t>
            </w:r>
            <w:r>
              <w:rPr>
                <w:i/>
                <w:iCs/>
                <w:color w:val="8A8273"/>
              </w:rPr>
              <w:t>Apr</w:t>
            </w:r>
            <w:proofErr w:type="spellEnd"/>
            <w:r>
              <w:rPr>
                <w:i/>
                <w:iCs/>
                <w:color w:val="8A8273"/>
              </w:rPr>
              <w:t xml:space="preserve"> 2024 – Present</w:t>
            </w:r>
          </w:p>
          <w:p w14:paraId="0B77FBD5" w14:textId="77777777" w:rsidR="004E45B8" w:rsidRDefault="00000000">
            <w:pPr>
              <w:keepNext/>
              <w:spacing w:after="20"/>
            </w:pPr>
            <w:proofErr w:type="gramStart"/>
            <w:r>
              <w:rPr>
                <w:b/>
                <w:bCs/>
                <w:color w:val="C9956B"/>
                <w:sz w:val="19"/>
                <w:szCs w:val="19"/>
              </w:rPr>
              <w:t>Meta</w:t>
            </w:r>
            <w:r>
              <w:rPr>
                <w:color w:val="C9956B"/>
                <w:sz w:val="19"/>
                <w:szCs w:val="19"/>
              </w:rPr>
              <w:t xml:space="preserve">  |</w:t>
            </w:r>
            <w:proofErr w:type="gramEnd"/>
            <w:r>
              <w:rPr>
                <w:color w:val="C9956B"/>
                <w:sz w:val="19"/>
                <w:szCs w:val="19"/>
              </w:rPr>
              <w:t xml:space="preserve">  Safe Ads Program</w:t>
            </w:r>
          </w:p>
          <w:p w14:paraId="1504D07B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Spearheading Meta's transformation from broad data access to consent-first advertising via the Safe Ads Program, remediating 700+ data assets across AAP, Consent Revocation (CR), BYOU, and ICOU privacy domains</w:t>
            </w:r>
          </w:p>
          <w:p w14:paraId="74BEB7B3" w14:textId="77777777" w:rsidR="004E45B8" w:rsidRDefault="00000000"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> Data Architecture &amp; Privacy Remediation</w:t>
            </w:r>
          </w:p>
          <w:p w14:paraId="539A56FF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Architected an end-to-end 8-stage privacy remediation pipeline (classification → lineage → topology sort → pipeline dev → diff → deploy → compliance → downstream migration) supporting four parallel privacy workstreams: AAP, CR filtering, BYOU, and ICOU</w:t>
            </w:r>
          </w:p>
          <w:p w14:paraId="63084FF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Achieved 100% remediation of all high-risk assets across AAP and Consent Revocation, directly enabling Meta's Safe Ads launch timeline</w:t>
            </w:r>
          </w:p>
          <w:p w14:paraId="50F0ED6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and deployed consent filtering pipelines for Instagram and Facebook tables — enforcing user-level opt-out at the data layer across BYOU and ICOU use cases</w:t>
            </w:r>
          </w:p>
          <w:p w14:paraId="45D0827A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Built signal table architectures and WaitForHive/WaitForOperator patterns for multi-partition compliance, replacing fragile direct-dependency models with auditable, consent-aware orchestration</w:t>
            </w:r>
          </w:p>
          <w:p w14:paraId="6B2A580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DP anonymization operators for safe analytics, preserving analytical capability while respecting consent boundaries</w:t>
            </w:r>
          </w:p>
          <w:p w14:paraId="528049AE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Landed 800+ code changes and managed 1,000+ tasks; reduced average asset remediation cycle time from weeks to days</w:t>
            </w:r>
          </w:p>
          <w:p w14:paraId="1E976E2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Closed privacy gaps across cross-functional Dataswarm pipelines involving 3+ producer teams, preventing compliance audit failures</w:t>
            </w:r>
          </w:p>
          <w:p w14:paraId="3269B51F" w14:textId="77777777" w:rsidR="004E45B8" w:rsidRDefault="00000000"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> AI-Augmented Remediation — Claude Code Skill</w:t>
            </w:r>
          </w:p>
          <w:p w14:paraId="1C562FC5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Co-developed with software engineers a custom “Claude Code Skill” (YAML + Markdown playbook) encoding the full AAP/CR/BYOU/ICOU remediation methodology — reduced new-member ramp-up from ~2 weeks to ~2 days</w:t>
            </w:r>
          </w:p>
          <w:p w14:paraId="31735350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Partnered with SWEs to augment AI implementation capabilities, enabling the skill to auto-generate pipeline codemods across all four privacy domains: DevmateHiveCustomPipeline transforms, consent filter generation, signal table wiring, and multi-producer table alignment</w:t>
            </w:r>
          </w:p>
          <w:p w14:paraId="304FE720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Cut remediation iteration time by 3–5×: the AI agent handled boilerplate codemod generation, lint/test cycles, and cross-team dependency resolution — enabling sustained 800+ diff velocity</w:t>
            </w:r>
          </w:p>
          <w:p w14:paraId="04627FE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Applied prompt engineering and LLM-assisted code analysis to reduce documentation overhead by ~70% and eliminate fragile metastore tracking</w:t>
            </w:r>
          </w:p>
          <w:p w14:paraId="51D1B37C" w14:textId="77777777" w:rsidR="004E45B8" w:rsidRDefault="00000000">
            <w:pPr>
              <w:keepNext/>
              <w:shd w:val="clear" w:color="auto" w:fill="F5EFE3"/>
              <w:spacing w:before="90" w:after="60"/>
            </w:pPr>
            <w:r>
              <w:rPr>
                <w:b/>
                <w:bCs/>
                <w:color w:val="33445F"/>
                <w:sz w:val="19"/>
                <w:szCs w:val="19"/>
              </w:rPr>
              <w:t> DataSwarm Pipeline Engineering</w:t>
            </w:r>
          </w:p>
          <w:p w14:paraId="74DF6B7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Streamlined schema/dataset definitions, removed hardcoded paths, and standardized lint/schedule/test workflows — reducing production incidents</w:t>
            </w:r>
          </w:p>
          <w:p w14:paraId="3A2AC91D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Documented repeatable validation steps that cut time-to-first-deploy for new pipelines by ~50%</w:t>
            </w:r>
          </w:p>
          <w:p w14:paraId="16723461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Resolved production failures (multi-partition wait conditions, signal table dependencies) across Chronos-orchestrated Instagram and Facebook pipelines</w:t>
            </w:r>
          </w:p>
          <w:p w14:paraId="365034B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Applied SQL/Spark-style ETL best practices sustaining 800+ change velocity over the engagement</w:t>
            </w:r>
          </w:p>
          <w:p w14:paraId="78DB8933" w14:textId="77777777" w:rsidR="005764C1" w:rsidRDefault="005764C1">
            <w:pPr>
              <w:pBdr>
                <w:bottom w:val="single" w:sz="6" w:space="3" w:color="C29345"/>
              </w:pBdr>
              <w:spacing w:before="220" w:after="90"/>
              <w:rPr>
                <w:b/>
                <w:bCs/>
                <w:color w:val="C29345"/>
                <w:sz w:val="19"/>
                <w:szCs w:val="19"/>
              </w:rPr>
            </w:pPr>
          </w:p>
          <w:p w14:paraId="7B3B9964" w14:textId="77777777" w:rsidR="005764C1" w:rsidRDefault="005764C1">
            <w:pPr>
              <w:pBdr>
                <w:bottom w:val="single" w:sz="6" w:space="3" w:color="C29345"/>
              </w:pBdr>
              <w:spacing w:before="220" w:after="90"/>
              <w:rPr>
                <w:b/>
                <w:bCs/>
                <w:color w:val="C29345"/>
                <w:sz w:val="19"/>
                <w:szCs w:val="19"/>
              </w:rPr>
            </w:pPr>
          </w:p>
          <w:p w14:paraId="3E035B9F" w14:textId="32F850AC" w:rsidR="004E45B8" w:rsidRDefault="00000000">
            <w:pPr>
              <w:pBdr>
                <w:bottom w:val="single" w:sz="6" w:space="3" w:color="C29345"/>
              </w:pBdr>
              <w:spacing w:before="220" w:after="90"/>
            </w:pPr>
            <w:r>
              <w:rPr>
                <w:b/>
                <w:bCs/>
                <w:color w:val="C29345"/>
                <w:sz w:val="19"/>
                <w:szCs w:val="19"/>
              </w:rPr>
              <w:lastRenderedPageBreak/>
              <w:t>EARLIER CAREER</w:t>
            </w:r>
          </w:p>
          <w:p w14:paraId="21DEC85E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Lead Data Architect — Partner Data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Engineering</w:t>
            </w:r>
            <w:r>
              <w:rPr>
                <w:i/>
                <w:iCs/>
                <w:color w:val="8A8273"/>
              </w:rPr>
              <w:t>Jan</w:t>
            </w:r>
            <w:proofErr w:type="spellEnd"/>
            <w:r>
              <w:rPr>
                <w:i/>
                <w:iCs/>
                <w:color w:val="8A8273"/>
              </w:rPr>
              <w:t xml:space="preserve"> 2022 – Jan 2024</w:t>
            </w:r>
          </w:p>
          <w:p w14:paraId="7AB97D4F" w14:textId="77777777" w:rsidR="004E45B8" w:rsidRDefault="00000000">
            <w:pPr>
              <w:keepNext/>
              <w:spacing w:after="20"/>
            </w:pPr>
            <w:r>
              <w:rPr>
                <w:b/>
                <w:bCs/>
                <w:color w:val="C9956B"/>
                <w:sz w:val="19"/>
                <w:szCs w:val="19"/>
              </w:rPr>
              <w:t>VMware</w:t>
            </w:r>
          </w:p>
          <w:p w14:paraId="3909449F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Strategic architect for VMware's Partner Data Platform — unifying fragmented partner data into a single governed analytics layer</w:t>
            </w:r>
          </w:p>
          <w:p w14:paraId="339A6A72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14:paraId="45F2535B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14:paraId="7C74AFE2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Pioneered an AI copilot for retrieval optimization, coding, and governance — one of VMware's earliest LLM-assisted data engineering deployments, reducing routine query development time by ~30%</w:t>
            </w:r>
          </w:p>
          <w:p w14:paraId="238C6B89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Achieved 40%+ Spark processing improvements via broadcast joins, caching, and skew management — bringing SLA-critical reports inside their delivery windows for the first time</w:t>
            </w:r>
          </w:p>
          <w:p w14:paraId="5D0638F7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Engaged director/VP-level stakeholders to define a unified data vision, securing budget and headcount that grew the team from 3 to 8 engineers during the engagement</w:t>
            </w:r>
          </w:p>
          <w:p w14:paraId="52C43F89" w14:textId="77777777" w:rsidR="004E45B8" w:rsidRDefault="00000000">
            <w:pPr>
              <w:keepNext/>
              <w:tabs>
                <w:tab w:val="right" w:pos="8150"/>
              </w:tabs>
              <w:spacing w:before="150" w:after="10"/>
            </w:pPr>
            <w:r>
              <w:rPr>
                <w:b/>
                <w:bCs/>
                <w:color w:val="1C2B45"/>
                <w:sz w:val="23"/>
                <w:szCs w:val="23"/>
              </w:rPr>
              <w:t xml:space="preserve">Senior Consultant — Ads, Commerce &amp; </w:t>
            </w:r>
            <w:proofErr w:type="spellStart"/>
            <w:r>
              <w:rPr>
                <w:b/>
                <w:bCs/>
                <w:color w:val="1C2B45"/>
                <w:sz w:val="23"/>
                <w:szCs w:val="23"/>
              </w:rPr>
              <w:t>Privacy</w:t>
            </w:r>
            <w:r>
              <w:rPr>
                <w:i/>
                <w:iCs/>
                <w:color w:val="8A8273"/>
              </w:rPr>
              <w:t>Jul</w:t>
            </w:r>
            <w:proofErr w:type="spellEnd"/>
            <w:r>
              <w:rPr>
                <w:i/>
                <w:iCs/>
                <w:color w:val="8A8273"/>
              </w:rPr>
              <w:t xml:space="preserve"> 2019 – Dec 2021</w:t>
            </w:r>
          </w:p>
          <w:p w14:paraId="4DC64283" w14:textId="77777777" w:rsidR="004E45B8" w:rsidRDefault="00000000">
            <w:pPr>
              <w:keepNext/>
              <w:spacing w:after="20"/>
            </w:pPr>
            <w:r>
              <w:rPr>
                <w:b/>
                <w:bCs/>
                <w:color w:val="C9956B"/>
                <w:sz w:val="19"/>
                <w:szCs w:val="19"/>
              </w:rPr>
              <w:t>Meta</w:t>
            </w:r>
          </w:p>
          <w:p w14:paraId="49F269F7" w14:textId="77777777" w:rsidR="004E45B8" w:rsidRDefault="00000000">
            <w:pPr>
              <w:spacing w:after="60" w:line="235" w:lineRule="auto"/>
            </w:pPr>
            <w:r>
              <w:rPr>
                <w:i/>
                <w:iCs/>
                <w:color w:val="8A8273"/>
              </w:rPr>
              <w:t>Led high-impact projects across Meta's Ads, Commerce, and Privacy teams, architecting secure, scalable, and compliant data platforms</w:t>
            </w:r>
          </w:p>
          <w:p w14:paraId="73D8026B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Led privacy remediation across 1,200+ SMB 2.0, Customer Journey, and BPO tables — resolving critical compliance-risk design flaws and establishing remediation patterns later adopted at scale in the Safe Ads program</w:t>
            </w:r>
          </w:p>
          <w:p w14:paraId="40E1ACF8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Spearheaded migration of 1,000+ Hive pipelines to Spark, automating ~70% of conversion tasks — compressing a projected 12-month migration to under 6 months</w:t>
            </w:r>
          </w:p>
          <w:p w14:paraId="2CB587BA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Owned the SMB funnel redesign, improving query performance 3x and scaling the pipeline from thousands to tens of thousands of small-business advertisers without infrastructure changes</w:t>
            </w:r>
          </w:p>
          <w:p w14:paraId="4B24B80C" w14:textId="77777777" w:rsidR="004E45B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6"/>
            </w:pPr>
            <w:r>
              <w:t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14:paraId="7EA9085A" w14:textId="77777777" w:rsidR="004E45B8" w:rsidRDefault="004E45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4E45B8">
      <w:pgSz w:w="12240" w:h="15840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5FD50F6-6134-814C-8423-61E2D5B2903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2" w:fontKey="{C7EEE992-8207-FC42-89E0-32536CE7465F}"/>
    <w:embedBold r:id="rId3" w:fontKey="{53C7B398-60A3-374A-B5A2-6E4DD17E57C0}"/>
    <w:embedItalic r:id="rId4" w:fontKey="{57791754-19AB-B348-8C65-1B969E1D7A2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5" w:fontKey="{7B356E24-14A3-524D-A4EB-A67B987B2648}"/>
    <w:embedItalic r:id="rId6" w:fontKey="{5EA73BC5-429F-C245-9501-986D9A13C3F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A5280375-E992-0142-9F6F-438DADCBBF69}"/>
  </w:font>
  <w:font w:name="Cambria">
    <w:panose1 w:val="02040503050406030204"/>
    <w:charset w:val="00"/>
    <w:family w:val="roman"/>
    <w:notTrueType/>
    <w:pitch w:val="default"/>
    <w:embedRegular r:id="rId8" w:fontKey="{662059A3-7078-E04A-9799-717B0AA539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615B5B"/>
    <w:multiLevelType w:val="multilevel"/>
    <w:tmpl w:val="081C8140"/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2B2F72ED"/>
    <w:multiLevelType w:val="multilevel"/>
    <w:tmpl w:val="77D49898"/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311104150">
    <w:abstractNumId w:val="1"/>
  </w:num>
  <w:num w:numId="2" w16cid:durableId="12085690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5B8"/>
    <w:rsid w:val="004E45B8"/>
    <w:rsid w:val="005634EA"/>
    <w:rsid w:val="0057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7316E8"/>
  <w15:docId w15:val="{7B7AB4A6-AC02-7641-8556-1F634CA3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27354D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1127</Words>
  <Characters>6426</Characters>
  <Application>Microsoft Office Word</Application>
  <DocSecurity>0</DocSecurity>
  <Lines>53</Lines>
  <Paragraphs>15</Paragraphs>
  <ScaleCrop>false</ScaleCrop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Padmanabhan Iyer</cp:lastModifiedBy>
  <cp:revision>2</cp:revision>
  <dcterms:created xsi:type="dcterms:W3CDTF">2026-07-08T15:34:00Z</dcterms:created>
  <dcterms:modified xsi:type="dcterms:W3CDTF">2026-07-08T15:40:00Z</dcterms:modified>
</cp:coreProperties>
</file>