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[ add email — see note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the data engineering execution of Meta's Safe Ads Program — a company-critical initiative transitioning advertising infrastructure from broad data access to consent-first architecture across four privacy domains (AAP, Consent Revocation, BYOU, ICOU)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Cross-Namespace Access Control Discovery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Identified a systemic blind spot in Meta's data deployment stack: when privacy migrations swapped indirect table references to direct cross-namespace sources, pipeline runtime identities crossed policy-zone boundaries for the first time — and no existing pre-deployment check (schema validation, compile tests, or user-identity test runs) could detect the violation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Recognized that test environments implicitly used engineer credentials with broader access, masking the fact that production pipeline identities lacked cross-zone privileges — a class of failure invisible to all existing CI/CD gates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implemented a boundary-guard probe that evaluates cross-namespace policy-zone access at diff time, surfacing violations as hard gates before deployment — preventing silent production outages across 100+ migration diffs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Established the operational protocol: all cross-namespace table swaps now require explicit privilege verification for the pipeline's runtime identity before landing — a process that did not exist prior to this discovery</w:t>
            </w:r>
          </w:p>
          <w:p w:rsidR="00000000" w:rsidDel="00000000" w:rsidP="00000000" w:rsidRDefault="00000000" w:rsidRPr="00000000" w14:paraId="00000047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AI-Augmented Remediation at Scale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Co-designed with SWEs a custom AI coding skill (structured playbook) encoding the complete remediation methodology for all four privacy domains — enabling any engineer to execute complex multi-step pipeline migrations with AI assistance from day 2 (vs. ~2 weeks prior ramp-up)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Skill covers end-to-end: table transform generation, consent filter pipeline creation, signal table dependency wiring, multi-producer alignment, lint/test automation, and cross-team dependency resolution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Cut per-asset remediation time by 3–5× and enabled a single engineer to sustain 800+ landed diffs over the engagement — a throughput level typically requiring 3–4 engineers without AI augmentation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Collaborated with software engineers to continuously improve the AI implementation: expanded coverage from AAP-only to CR, BYOU, and ICOU domains; added cross-namespace boundary detection; eliminated fragile metadata tracking patterns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Applied prompt engineering and LLM-assisted code analysis to reduce documentation overhead by ~70%, freeing engineering time for higher-judgment work (policy-zone gap analysis, multi-producer negotiations)</w:t>
            </w:r>
          </w:p>
          <w:p w:rsidR="00000000" w:rsidDel="00000000" w:rsidP="00000000" w:rsidRDefault="00000000" w:rsidRPr="00000000" w14:paraId="0000004D">
            <w:pPr>
              <w:keepNext w:val="1"/>
              <w:shd w:fill="f5efe3" w:val="clear"/>
              <w:spacing w:after="60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3445f"/>
                <w:sz w:val="19"/>
                <w:szCs w:val="19"/>
                <w:rtl w:val="0"/>
              </w:rPr>
              <w:t xml:space="preserve"> Privacy Remediation Pipeline Architecture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Architected an 8-stage remediation pipeline (classification → lineage → topology sort → pipeline dev → diff → deploy → compliance → downstream migration) serving as the execution framework for 700+ data asset remediations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100% remediation of all high-risk assets across AAP and Consent Revocation on schedule — directly unblocking Meta's Safe Ads regulatory launch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Built consent filtering pipelines enforcing user-level opt-out at the data layer, signal table architectures for auditable dependency management, and differential privacy operators preserving analytical utility under consent constraints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 compliance gaps across cross-functional pipelines involving 3+ producer teams — navigating ambiguous ownership, negotiating schema changes, and resolving conflicting team priorities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average asset remediation cycle time from weeks to days; cut time-to-first-deploy for new pipelines by ~50% through documented, repeatable validation workflows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