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146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T</w:t>
      </w:r>
    </w:p>
    <w:p>
      <w:pPr>
        <w:spacing w:before="145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✉</w:t>
      </w:r>
      <w:r>
        <w:rPr>
          <w:rFonts w:ascii="Segoe UI Symbol" w:hAnsi="Segoe UI Symbol"/>
          <w:color w:val="C79059"/>
          <w:spacing w:val="36"/>
          <w:sz w:val="15"/>
        </w:rPr>
        <w:t> </w:t>
      </w:r>
      <w:hyperlink r:id="rId5">
        <w:r>
          <w:rPr>
            <w:color w:val="E7C8A0"/>
            <w:sz w:val="15"/>
          </w:rPr>
          <w:t>[email</w:t>
        </w:r>
        <w:r>
          <w:rPr>
            <w:color w:val="E7C8A0"/>
            <w:spacing w:val="-7"/>
            <w:sz w:val="15"/>
          </w:rPr>
          <w:t> </w:t>
        </w:r>
        <w:r>
          <w:rPr>
            <w:color w:val="E7C8A0"/>
            <w:spacing w:val="-2"/>
            <w:sz w:val="15"/>
          </w:rPr>
          <w:t>protected]</w:t>
        </w:r>
      </w:hyperlink>
    </w:p>
    <w:p>
      <w:pPr>
        <w:spacing w:before="55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w w:val="105"/>
          <w:sz w:val="15"/>
        </w:rPr>
        <w:t>↗</w:t>
      </w:r>
      <w:r>
        <w:rPr>
          <w:rFonts w:ascii="Segoe UI Symbol" w:hAnsi="Segoe UI Symbol"/>
          <w:color w:val="C79059"/>
          <w:spacing w:val="60"/>
          <w:w w:val="105"/>
          <w:sz w:val="15"/>
        </w:rPr>
        <w:t> </w:t>
      </w:r>
      <w:hyperlink r:id="rId6">
        <w:r>
          <w:rPr>
            <w:color w:val="E7C8A0"/>
            <w:spacing w:val="-2"/>
            <w:w w:val="105"/>
            <w:sz w:val="15"/>
          </w:rPr>
          <w:t>linkedin.com/in/paddyiyer</w:t>
        </w:r>
      </w:hyperlink>
    </w:p>
    <w:p>
      <w:pPr>
        <w:spacing w:before="56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✎</w:t>
      </w:r>
      <w:r>
        <w:rPr>
          <w:rFonts w:ascii="Segoe UI Symbol" w:hAnsi="Segoe UI Symbol"/>
          <w:color w:val="C79059"/>
          <w:spacing w:val="27"/>
          <w:sz w:val="15"/>
        </w:rPr>
        <w:t> </w:t>
      </w:r>
      <w:hyperlink r:id="rId7">
        <w:r>
          <w:rPr>
            <w:color w:val="E7C8A0"/>
            <w:spacing w:val="-2"/>
            <w:sz w:val="15"/>
          </w:rPr>
          <w:t>paddyspeaks.com</w:t>
        </w:r>
      </w:hyperlink>
    </w:p>
    <w:p>
      <w:pPr>
        <w:spacing w:before="55"/>
        <w:ind w:left="360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☷</w:t>
      </w:r>
      <w:r>
        <w:rPr>
          <w:rFonts w:ascii="Segoe UI Symbol" w:hAnsi="Segoe UI Symbol"/>
          <w:color w:val="C79059"/>
          <w:spacing w:val="47"/>
          <w:sz w:val="15"/>
        </w:rPr>
        <w:t> </w:t>
      </w:r>
      <w:hyperlink r:id="rId8">
        <w:r>
          <w:rPr>
            <w:color w:val="E7C8A0"/>
            <w:spacing w:val="-2"/>
            <w:sz w:val="15"/>
          </w:rPr>
          <w:t>github.com/paddyriyer</w:t>
        </w:r>
      </w:hyperlink>
    </w:p>
    <w:p>
      <w:pPr>
        <w:spacing w:before="71"/>
        <w:ind w:left="360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w w:val="105"/>
          <w:sz w:val="15"/>
        </w:rPr>
        <w:t>⚑</w:t>
      </w:r>
      <w:r>
        <w:rPr>
          <w:rFonts w:ascii="Segoe UI Symbol" w:hAnsi="Segoe UI Symbol"/>
          <w:color w:val="C79059"/>
          <w:spacing w:val="24"/>
          <w:w w:val="105"/>
          <w:sz w:val="15"/>
        </w:rPr>
        <w:t> </w:t>
      </w:r>
      <w:r>
        <w:rPr>
          <w:color w:val="CBD5E1"/>
          <w:w w:val="105"/>
          <w:sz w:val="15"/>
        </w:rPr>
        <w:t>San</w:t>
      </w:r>
      <w:r>
        <w:rPr>
          <w:color w:val="CBD5E1"/>
          <w:spacing w:val="-10"/>
          <w:w w:val="105"/>
          <w:sz w:val="15"/>
        </w:rPr>
        <w:t> </w:t>
      </w:r>
      <w:r>
        <w:rPr>
          <w:color w:val="CBD5E1"/>
          <w:w w:val="105"/>
          <w:sz w:val="15"/>
        </w:rPr>
        <w:t>Francisco</w:t>
      </w:r>
      <w:r>
        <w:rPr>
          <w:color w:val="CBD5E1"/>
          <w:spacing w:val="-10"/>
          <w:w w:val="105"/>
          <w:sz w:val="15"/>
        </w:rPr>
        <w:t> </w:t>
      </w:r>
      <w:r>
        <w:rPr>
          <w:color w:val="CBD5E1"/>
          <w:w w:val="105"/>
          <w:sz w:val="15"/>
        </w:rPr>
        <w:t>Bay</w:t>
      </w:r>
      <w:r>
        <w:rPr>
          <w:color w:val="CBD5E1"/>
          <w:spacing w:val="-11"/>
          <w:w w:val="105"/>
          <w:sz w:val="15"/>
        </w:rPr>
        <w:t> </w:t>
      </w:r>
      <w:r>
        <w:rPr>
          <w:color w:val="CBD5E1"/>
          <w:spacing w:val="-4"/>
          <w:w w:val="105"/>
          <w:sz w:val="15"/>
        </w:rPr>
        <w:t>Area</w:t>
      </w:r>
    </w:p>
    <w:p>
      <w:pPr>
        <w:pStyle w:val="BodyText"/>
        <w:spacing w:before="86"/>
        <w:ind w:firstLine="0"/>
        <w:rPr>
          <w:sz w:val="15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S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K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52"/>
        <w:ind w:firstLine="0"/>
        <w:rPr>
          <w:rFonts w:ascii="Courier New"/>
          <w:sz w:val="13"/>
        </w:rPr>
      </w:pPr>
    </w:p>
    <w:p>
      <w:pPr>
        <w:tabs>
          <w:tab w:pos="1014" w:val="left" w:leader="none"/>
          <w:tab w:pos="1263" w:val="left" w:leader="none"/>
          <w:tab w:pos="1309" w:val="left" w:leader="none"/>
          <w:tab w:pos="1511" w:val="left" w:leader="none"/>
          <w:tab w:pos="2160" w:val="left" w:leader="none"/>
          <w:tab w:pos="2212" w:val="left" w:leader="none"/>
        </w:tabs>
        <w:spacing w:line="494" w:lineRule="auto" w:before="0"/>
        <w:ind w:left="435" w:right="202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Spark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Hive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Hadoop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Databricks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Delta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Lake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Snowflake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Redshift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spacing w:val="-2"/>
          <w:w w:val="105"/>
          <w:sz w:val="13"/>
        </w:rPr>
        <w:t>MongoDB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DynamoDB</w:t>
      </w:r>
      <w:r>
        <w:rPr>
          <w:color w:val="CBD5E1"/>
          <w:sz w:val="13"/>
        </w:rPr>
        <w:tab/>
      </w:r>
      <w:r>
        <w:rPr>
          <w:color w:val="CBD5E1"/>
          <w:spacing w:val="-15"/>
          <w:sz w:val="13"/>
        </w:rPr>
        <w:t> </w:t>
      </w:r>
      <w:r>
        <w:rPr>
          <w:color w:val="CBD5E1"/>
          <w:w w:val="105"/>
          <w:sz w:val="13"/>
        </w:rPr>
        <w:t>AWS</w:t>
      </w:r>
    </w:p>
    <w:p>
      <w:pPr>
        <w:tabs>
          <w:tab w:pos="1014" w:val="left" w:leader="none"/>
          <w:tab w:pos="1381" w:val="left" w:leader="none"/>
          <w:tab w:pos="1414" w:val="left" w:leader="none"/>
          <w:tab w:pos="1475" w:val="left" w:leader="none"/>
          <w:tab w:pos="1534" w:val="left" w:leader="none"/>
          <w:tab w:pos="2181" w:val="left" w:leader="none"/>
          <w:tab w:pos="2326" w:val="left" w:leader="none"/>
          <w:tab w:pos="2398" w:val="left" w:leader="none"/>
          <w:tab w:pos="2678" w:val="left" w:leader="none"/>
        </w:tabs>
        <w:spacing w:line="506" w:lineRule="auto" w:before="6"/>
        <w:ind w:left="435" w:right="38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Azure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GCP</w:t>
      </w:r>
      <w:r>
        <w:rPr>
          <w:color w:val="CBD5E1"/>
          <w:sz w:val="13"/>
        </w:rPr>
        <w:tab/>
        <w:tab/>
        <w:tab/>
        <w:tab/>
      </w:r>
      <w:r>
        <w:rPr>
          <w:color w:val="CBD5E1"/>
          <w:spacing w:val="-2"/>
          <w:w w:val="105"/>
          <w:sz w:val="13"/>
        </w:rPr>
        <w:t>Python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SQL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Scala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Diff.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Privacy</w:t>
      </w:r>
      <w:r>
        <w:rPr>
          <w:color w:val="CBD5E1"/>
          <w:sz w:val="13"/>
        </w:rPr>
        <w:tab/>
      </w:r>
      <w:r>
        <w:rPr>
          <w:color w:val="CBD5E1"/>
          <w:w w:val="105"/>
          <w:sz w:val="13"/>
        </w:rPr>
        <w:t>Claude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Code</w:t>
      </w:r>
      <w:r>
        <w:rPr>
          <w:color w:val="CBD5E1"/>
          <w:sz w:val="13"/>
        </w:rPr>
        <w:tab/>
        <w:tab/>
        <w:tab/>
      </w:r>
      <w:r>
        <w:rPr>
          <w:color w:val="CBD5E1"/>
          <w:w w:val="105"/>
          <w:sz w:val="13"/>
        </w:rPr>
        <w:t>AI</w:t>
      </w:r>
      <w:r>
        <w:rPr>
          <w:color w:val="CBD5E1"/>
          <w:spacing w:val="-10"/>
          <w:w w:val="105"/>
          <w:sz w:val="13"/>
        </w:rPr>
        <w:t> </w:t>
      </w:r>
      <w:r>
        <w:rPr>
          <w:color w:val="CBD5E1"/>
          <w:w w:val="105"/>
          <w:sz w:val="13"/>
        </w:rPr>
        <w:t>Agents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Prompt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Eng.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Dataswarm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Informatica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Unity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Catalog</w:t>
      </w:r>
      <w:r>
        <w:rPr>
          <w:color w:val="CBD5E1"/>
          <w:sz w:val="13"/>
        </w:rPr>
        <w:tab/>
        <w:tab/>
        <w:tab/>
      </w:r>
      <w:r>
        <w:rPr>
          <w:color w:val="CBD5E1"/>
          <w:spacing w:val="-2"/>
          <w:w w:val="105"/>
          <w:sz w:val="13"/>
        </w:rPr>
        <w:t>Polymer</w:t>
      </w:r>
      <w:r>
        <w:rPr>
          <w:color w:val="CBD5E1"/>
          <w:sz w:val="13"/>
        </w:rPr>
        <w:tab/>
      </w:r>
      <w:r>
        <w:rPr>
          <w:color w:val="CBD5E1"/>
          <w:spacing w:val="-21"/>
          <w:sz w:val="13"/>
        </w:rPr>
        <w:t> </w:t>
      </w:r>
      <w:r>
        <w:rPr>
          <w:color w:val="CBD5E1"/>
          <w:w w:val="105"/>
          <w:sz w:val="13"/>
        </w:rPr>
        <w:t>FGF</w:t>
      </w:r>
    </w:p>
    <w:p>
      <w:pPr>
        <w:tabs>
          <w:tab w:pos="1158" w:val="left" w:leader="none"/>
        </w:tabs>
        <w:spacing w:line="148" w:lineRule="exact" w:before="0"/>
        <w:ind w:left="435" w:right="0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Unidash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BusinessObjects</w:t>
      </w:r>
    </w:p>
    <w:p>
      <w:pPr>
        <w:pStyle w:val="BodyText"/>
        <w:spacing w:before="105"/>
        <w:ind w:firstLine="0"/>
        <w:rPr>
          <w:sz w:val="13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D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2"/>
          <w:sz w:val="13"/>
        </w:rPr>
        <w:t>N</w:t>
      </w:r>
    </w:p>
    <w:p>
      <w:pPr>
        <w:pStyle w:val="BodyText"/>
        <w:spacing w:before="3"/>
        <w:ind w:firstLine="0"/>
        <w:rPr>
          <w:rFonts w:ascii="Courier New"/>
          <w:sz w:val="13"/>
        </w:rPr>
      </w:pPr>
    </w:p>
    <w:p>
      <w:pPr>
        <w:spacing w:before="0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Data Engineering </w:t>
      </w:r>
      <w:r>
        <w:rPr>
          <w:b/>
          <w:color w:val="E2E7F0"/>
          <w:spacing w:val="-2"/>
          <w:sz w:val="15"/>
        </w:rPr>
        <w:t>Cert.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z w:val="14"/>
        </w:rPr>
        <w:t>UC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Santa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Cruz,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2013–</w:t>
      </w:r>
      <w:r>
        <w:rPr>
          <w:color w:val="94A2B8"/>
          <w:spacing w:val="-5"/>
          <w:sz w:val="14"/>
        </w:rPr>
        <w:t>14</w:t>
      </w:r>
    </w:p>
    <w:p>
      <w:pPr>
        <w:spacing w:before="129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B.S. Electrical </w:t>
      </w:r>
      <w:r>
        <w:rPr>
          <w:b/>
          <w:color w:val="E2E7F0"/>
          <w:spacing w:val="-2"/>
          <w:sz w:val="15"/>
        </w:rPr>
        <w:t>Engineering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z w:val="14"/>
        </w:rPr>
        <w:t>Sardar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Patel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College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of</w:t>
      </w:r>
      <w:r>
        <w:rPr>
          <w:color w:val="94A2B8"/>
          <w:spacing w:val="-4"/>
          <w:sz w:val="14"/>
        </w:rPr>
        <w:t> Eng.</w:t>
      </w:r>
    </w:p>
    <w:p>
      <w:pPr>
        <w:spacing w:before="115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Diploma, Electronics &amp; </w:t>
      </w:r>
      <w:r>
        <w:rPr>
          <w:b/>
          <w:color w:val="E2E7F0"/>
          <w:spacing w:val="-2"/>
          <w:sz w:val="15"/>
        </w:rPr>
        <w:t>Comms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pacing w:val="-2"/>
          <w:sz w:val="14"/>
        </w:rPr>
        <w:t>Technical</w:t>
      </w:r>
      <w:r>
        <w:rPr>
          <w:color w:val="94A2B8"/>
          <w:spacing w:val="-3"/>
          <w:sz w:val="14"/>
        </w:rPr>
        <w:t> </w:t>
      </w:r>
      <w:r>
        <w:rPr>
          <w:color w:val="94A2B8"/>
          <w:spacing w:val="-2"/>
          <w:sz w:val="14"/>
        </w:rPr>
        <w:t>Board,</w:t>
      </w:r>
      <w:r>
        <w:rPr>
          <w:color w:val="94A2B8"/>
          <w:spacing w:val="-4"/>
          <w:sz w:val="14"/>
        </w:rPr>
        <w:t> </w:t>
      </w:r>
      <w:r>
        <w:rPr>
          <w:color w:val="94A2B8"/>
          <w:spacing w:val="-2"/>
          <w:sz w:val="14"/>
        </w:rPr>
        <w:t>Tamil </w:t>
      </w:r>
      <w:r>
        <w:rPr>
          <w:color w:val="94A2B8"/>
          <w:spacing w:val="-4"/>
          <w:sz w:val="14"/>
        </w:rPr>
        <w:t>Nadu</w:t>
      </w:r>
    </w:p>
    <w:p>
      <w:pPr>
        <w:pStyle w:val="BodyText"/>
        <w:spacing w:before="136"/>
        <w:ind w:firstLine="0"/>
        <w:rPr>
          <w:sz w:val="14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F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27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VMware SaaS </w:t>
      </w:r>
      <w:r>
        <w:rPr>
          <w:color w:val="CBD5E1"/>
          <w:spacing w:val="-2"/>
          <w:w w:val="105"/>
          <w:sz w:val="14"/>
        </w:rPr>
        <w:t>Essentials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Hadoop </w:t>
      </w:r>
      <w:r>
        <w:rPr>
          <w:color w:val="CBD5E1"/>
          <w:spacing w:val="-2"/>
          <w:w w:val="105"/>
          <w:sz w:val="14"/>
        </w:rPr>
        <w:t>Fundamentals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NoSQL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Databases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NoSQL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w w:val="105"/>
          <w:sz w:val="14"/>
        </w:rPr>
        <w:t>for 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Professionals</w:t>
      </w:r>
    </w:p>
    <w:p>
      <w:pPr>
        <w:pStyle w:val="BodyText"/>
        <w:spacing w:before="91"/>
        <w:ind w:firstLine="0"/>
        <w:rPr>
          <w:sz w:val="14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P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B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13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Cloud </w:t>
      </w:r>
      <w:r>
        <w:rPr>
          <w:color w:val="CBD5E1"/>
          <w:spacing w:val="-2"/>
          <w:w w:val="105"/>
          <w:sz w:val="14"/>
        </w:rPr>
        <w:t>Computing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All</w:t>
      </w:r>
      <w:r>
        <w:rPr>
          <w:color w:val="CBD5E1"/>
          <w:spacing w:val="-8"/>
          <w:w w:val="105"/>
          <w:sz w:val="14"/>
        </w:rPr>
        <w:t> </w:t>
      </w:r>
      <w:r>
        <w:rPr>
          <w:color w:val="CBD5E1"/>
          <w:w w:val="105"/>
          <w:sz w:val="14"/>
        </w:rPr>
        <w:t>About Big </w:t>
      </w:r>
      <w:r>
        <w:rPr>
          <w:color w:val="CBD5E1"/>
          <w:spacing w:val="-4"/>
          <w:w w:val="105"/>
          <w:sz w:val="14"/>
        </w:rPr>
        <w:t>Data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Future</w:t>
      </w:r>
      <w:r>
        <w:rPr>
          <w:color w:val="CBD5E1"/>
          <w:spacing w:val="-5"/>
          <w:w w:val="105"/>
          <w:sz w:val="14"/>
        </w:rPr>
        <w:t> </w:t>
      </w:r>
      <w:r>
        <w:rPr>
          <w:color w:val="CBD5E1"/>
          <w:w w:val="105"/>
          <w:sz w:val="14"/>
        </w:rPr>
        <w:t>Trends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w w:val="105"/>
          <w:sz w:val="14"/>
        </w:rPr>
        <w:t>in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spacing w:val="-5"/>
          <w:w w:val="105"/>
          <w:sz w:val="14"/>
        </w:rPr>
        <w:t>BI</w:t>
      </w:r>
    </w:p>
    <w:p>
      <w:pPr>
        <w:pStyle w:val="Heading1"/>
      </w:pPr>
      <w:r>
        <w:rPr>
          <w:b w:val="0"/>
        </w:rPr>
        <w:br w:type="column"/>
      </w:r>
      <w:r>
        <w:rPr>
          <w:color w:val="1A2E45"/>
          <w:spacing w:val="17"/>
        </w:rPr>
        <w:t>Paddy</w:t>
      </w:r>
      <w:r>
        <w:rPr>
          <w:color w:val="1A2E45"/>
          <w:spacing w:val="47"/>
        </w:rPr>
        <w:t> </w:t>
      </w:r>
      <w:r>
        <w:rPr>
          <w:color w:val="1A2E45"/>
          <w:spacing w:val="12"/>
        </w:rPr>
        <w:t>Iyer</w:t>
      </w:r>
    </w:p>
    <w:p>
      <w:pPr>
        <w:spacing w:before="60"/>
        <w:ind w:left="345" w:right="0" w:firstLine="0"/>
        <w:jc w:val="left"/>
        <w:rPr>
          <w:rFonts w:ascii="Courier New" w:hAnsi="Courier New"/>
          <w:sz w:val="14"/>
        </w:rPr>
      </w:pP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L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S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H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P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V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Y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-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F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S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pacing w:val="-10"/>
          <w:sz w:val="14"/>
        </w:rPr>
        <w:t>T</w:t>
      </w:r>
    </w:p>
    <w:p>
      <w:pPr>
        <w:spacing w:before="7"/>
        <w:ind w:left="345" w:right="0" w:firstLine="0"/>
        <w:jc w:val="left"/>
        <w:rPr>
          <w:rFonts w:ascii="Courier New" w:hAnsi="Courier New"/>
          <w:sz w:val="14"/>
        </w:rPr>
      </w:pP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O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V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O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pacing w:val="-10"/>
          <w:sz w:val="14"/>
        </w:rPr>
        <w:t>R</w:t>
      </w:r>
    </w:p>
    <w:p>
      <w:pPr>
        <w:spacing w:line="312" w:lineRule="auto" w:before="128"/>
        <w:ind w:left="345" w:right="89" w:firstLine="0"/>
        <w:jc w:val="left"/>
        <w:rPr>
          <w:sz w:val="17"/>
        </w:rPr>
      </w:pPr>
      <w:r>
        <w:rPr>
          <w:color w:val="465469"/>
          <w:sz w:val="17"/>
        </w:rPr>
        <w:t>15+ years driving enterprise data transformation for global tech leaders across cloud/SaaS, fintech, gaming, and consumer platforms. Expert in cloud-native architectures, real-time analytics, privacy-first pipelines,</w:t>
      </w:r>
      <w:r>
        <w:rPr>
          <w:color w:val="465469"/>
          <w:spacing w:val="-5"/>
          <w:sz w:val="17"/>
        </w:rPr>
        <w:t> </w:t>
      </w:r>
      <w:r>
        <w:rPr>
          <w:color w:val="465469"/>
          <w:sz w:val="17"/>
        </w:rPr>
        <w:t>and</w:t>
      </w:r>
      <w:r>
        <w:rPr>
          <w:color w:val="465469"/>
          <w:spacing w:val="-12"/>
          <w:sz w:val="17"/>
        </w:rPr>
        <w:t> </w:t>
      </w:r>
      <w:r>
        <w:rPr>
          <w:color w:val="465469"/>
          <w:sz w:val="17"/>
        </w:rPr>
        <w:t>AI-augmented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data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operations.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Proven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builder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of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high-trust,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high-performance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data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teams at petabyte scale. Published writer and thought leader on data architecture,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AI agents, and the intersection of ancient wisdom with modern technology.</w:t>
      </w:r>
    </w:p>
    <w:p>
      <w:pPr>
        <w:pStyle w:val="BodyText"/>
        <w:spacing w:before="122"/>
        <w:ind w:firstLine="0"/>
        <w:rPr>
          <w:sz w:val="17"/>
        </w:rPr>
      </w:pPr>
    </w:p>
    <w:p>
      <w:pPr>
        <w:tabs>
          <w:tab w:pos="2002" w:val="left" w:leader="none"/>
          <w:tab w:pos="2352" w:val="left" w:leader="none"/>
          <w:tab w:pos="3903" w:val="left" w:leader="none"/>
          <w:tab w:pos="3966" w:val="left" w:leader="none"/>
          <w:tab w:pos="5502" w:val="left" w:leader="none"/>
          <w:tab w:pos="5791" w:val="left" w:leader="none"/>
        </w:tabs>
        <w:spacing w:line="446" w:lineRule="auto" w:before="0"/>
        <w:ind w:left="465" w:right="1030" w:firstLine="0"/>
        <w:jc w:val="left"/>
        <w:rPr>
          <w:sz w:val="14"/>
        </w:rPr>
      </w:pPr>
      <w:r>
        <w:rPr>
          <w:color w:val="465469"/>
          <w:sz w:val="14"/>
        </w:rPr>
        <w:t>Modern Data Architecture</w:t>
        <w:tab/>
        <w:t>Privacy-First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Design</w:t>
        <w:tab/>
        <w:t>Consent</w:t>
      </w:r>
      <w:r>
        <w:rPr>
          <w:color w:val="465469"/>
          <w:spacing w:val="-10"/>
          <w:sz w:val="14"/>
        </w:rPr>
        <w:t> </w:t>
      </w:r>
      <w:r>
        <w:rPr>
          <w:color w:val="465469"/>
          <w:sz w:val="14"/>
        </w:rPr>
        <w:t>Architecture</w:t>
        <w:tab/>
        <w:t>AI Agents &amp; LLM Pipelines</w:t>
      </w:r>
      <w:r>
        <w:rPr>
          <w:color w:val="465469"/>
          <w:spacing w:val="40"/>
          <w:sz w:val="14"/>
        </w:rPr>
        <w:t> </w:t>
      </w:r>
      <w:r>
        <w:rPr>
          <w:color w:val="465469"/>
          <w:sz w:val="14"/>
        </w:rPr>
        <w:t>Prompt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Engineering</w:t>
        <w:tab/>
        <w:t>Data Governance (C1–C5)</w:t>
        <w:tab/>
        <w:tab/>
        <w:t>Petabyte-Scale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Systems</w:t>
        <w:tab/>
        <w:tab/>
      </w:r>
      <w:r>
        <w:rPr>
          <w:color w:val="465469"/>
          <w:spacing w:val="-2"/>
          <w:sz w:val="14"/>
        </w:rPr>
        <w:t>Global</w:t>
      </w:r>
      <w:r>
        <w:rPr>
          <w:color w:val="465469"/>
          <w:spacing w:val="-8"/>
          <w:sz w:val="14"/>
        </w:rPr>
        <w:t> </w:t>
      </w:r>
      <w:r>
        <w:rPr>
          <w:color w:val="465469"/>
          <w:spacing w:val="-2"/>
          <w:sz w:val="14"/>
        </w:rPr>
        <w:t>Team</w:t>
      </w:r>
      <w:r>
        <w:rPr>
          <w:color w:val="465469"/>
          <w:spacing w:val="-8"/>
          <w:sz w:val="14"/>
        </w:rPr>
        <w:t> </w:t>
      </w:r>
      <w:r>
        <w:rPr>
          <w:color w:val="465469"/>
          <w:spacing w:val="-2"/>
          <w:sz w:val="14"/>
        </w:rPr>
        <w:t>Leadership</w:t>
      </w:r>
      <w:r>
        <w:rPr>
          <w:color w:val="465469"/>
          <w:spacing w:val="40"/>
          <w:sz w:val="14"/>
        </w:rPr>
        <w:t> </w:t>
      </w:r>
      <w:r>
        <w:rPr>
          <w:color w:val="465469"/>
          <w:sz w:val="14"/>
        </w:rPr>
        <w:t>Data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Storytelling</w:t>
      </w:r>
    </w:p>
    <w:p>
      <w:pPr>
        <w:pStyle w:val="BodyText"/>
        <w:spacing w:before="65"/>
        <w:ind w:firstLine="0"/>
        <w:rPr>
          <w:sz w:val="14"/>
        </w:rPr>
      </w:pPr>
    </w:p>
    <w:p>
      <w:pPr>
        <w:spacing w:before="1"/>
        <w:ind w:left="345" w:right="0" w:firstLine="0"/>
        <w:jc w:val="left"/>
        <w:rPr>
          <w:rFonts w:ascii="Courier New"/>
          <w:sz w:val="14"/>
        </w:rPr>
      </w:pPr>
      <w:r>
        <w:rPr>
          <w:rFonts w:ascii="Courier New"/>
          <w:color w:val="C79059"/>
          <w:sz w:val="14"/>
        </w:rPr>
        <w:t>F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U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X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P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pacing w:val="-10"/>
          <w:sz w:val="14"/>
        </w:rPr>
        <w:t>E</w:t>
      </w:r>
    </w:p>
    <w:p>
      <w:pPr>
        <w:tabs>
          <w:tab w:pos="6901" w:val="left" w:leader="none"/>
        </w:tabs>
        <w:spacing w:before="94"/>
        <w:ind w:left="345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 xml:space="preserve">Data Engineer — Privacy &amp; Consent Infrastructure	Apr 2024 – Present</w:t>
      </w:r>
    </w:p>
    <w:p>
      <w:pPr>
        <w:spacing w:before="11"/>
        <w:ind w:left="345" w:right="0" w:firstLine="0"/>
        <w:jc w:val="left"/>
        <w:rPr>
          <w:sz w:val="17"/>
        </w:rPr>
      </w:pPr>
      <w:r>
        <w:rPr>
          <w:color w:val="C79059"/>
          <w:sz w:val="17"/>
        </w:rPr>
        <w:t xml:space="preserve">Meta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Landed 1,000+ production changes across a multi-year privacy migration — sustained solo throughput normally requiring a team of 3–4 engineers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Cleared the final blocker to a company-wide data warehouse consolidation program. My workstream covered the last ~20% of warehouse data — the portion nobody else could touch because it sat directly in the advertising revenue path. Completing it took the program from 80% to 100% coverage and enabled its formal close-out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Executed that migration with zero revenue impact on the highest-sensitivity assets in the warehouse, under a constraint that any error would surface as ads revenue loss rather than a test failure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Proved the pre-deployment validation stack was structurally blind — permission checks returned PASS for tables that didn't exist and never modeled runtime enforcement. Built the hard-gate guard system that closed the gap; every gate traces to a specific postmortem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Reduced an entire failure class to an offline-checkable invariant. Verified against the full asset inventory: 81% of migrations required a namespace change, not the name change the tooling assumed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Owned response for 5 production incidents including 2 SEV3s (one at $5.27M/day) — fix-forward, zero reverts, permission grants coordinated across 6+ owning teams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Co-built an AI coding skill encoding the full remediation methodology: engineer ramp-up 2 weeks → 2 days, per-asset cycle time down 3–5×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Work recognized in a company-wide announcement to the Data organization (285 reactions), with the difficulty of this workstream called out explicitly by senior engineering leadership</w:t>
      </w:r>
    </w:p>
    <w:p>
      <w:pPr>
        <w:spacing w:before="68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&amp;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G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D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S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P</w:t>
      </w:r>
    </w:p>
    <w:p>
      <w:pPr>
        <w:pStyle w:val="BodyText"/>
        <w:spacing w:before="12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160+ articles on </w:t>
      </w:r>
      <w:r>
        <w:rPr>
          <w:color w:val="CBD5E1"/>
          <w:spacing w:val="-2"/>
          <w:w w:val="105"/>
          <w:sz w:val="14"/>
        </w:rPr>
        <w:t>paddyspeaks.com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Claude Code skill </w:t>
      </w:r>
      <w:r>
        <w:rPr>
          <w:color w:val="CBD5E1"/>
          <w:spacing w:val="-2"/>
          <w:w w:val="105"/>
          <w:sz w:val="14"/>
        </w:rPr>
        <w:t>development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Vibe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w w:val="105"/>
          <w:sz w:val="14"/>
        </w:rPr>
        <w:t>coding</w:t>
      </w:r>
      <w:r>
        <w:rPr>
          <w:color w:val="CBD5E1"/>
          <w:spacing w:val="-1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methodology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AI agent architecture </w:t>
      </w:r>
      <w:r>
        <w:rPr>
          <w:color w:val="CBD5E1"/>
          <w:spacing w:val="-2"/>
          <w:w w:val="105"/>
          <w:sz w:val="14"/>
        </w:rPr>
        <w:t>writing</w:t>
      </w: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96"/>
        <w:ind w:firstLine="0"/>
        <w:rPr>
          <w:sz w:val="12"/>
        </w:rPr>
      </w:pPr>
    </w:p>
    <w:p>
      <w:pPr>
        <w:spacing w:before="0"/>
        <w:ind w:left="0" w:right="141" w:firstLine="0"/>
        <w:jc w:val="right"/>
        <w:rPr>
          <w:rFonts w:ascii="Courier New"/>
          <w:sz w:val="12"/>
        </w:rPr>
      </w:pPr>
      <w:r>
        <w:rPr>
          <w:rFonts w:ascii="Courier New"/>
          <w:color w:val="94A2B8"/>
          <w:sz w:val="12"/>
        </w:rPr>
        <w:t>Page 1 of </w:t>
      </w:r>
      <w:r>
        <w:rPr>
          <w:rFonts w:ascii="Courier New"/>
          <w:color w:val="94A2B8"/>
          <w:spacing w:val="-10"/>
          <w:sz w:val="12"/>
        </w:rPr>
        <w:t>3</w:t>
      </w:r>
    </w:p>
    <w:p>
      <w:pPr>
        <w:spacing w:after="0"/>
        <w:jc w:val="right"/>
        <w:rPr>
          <w:rFonts w:ascii="Courier New"/>
          <w:sz w:val="12"/>
        </w:rPr>
        <w:sectPr>
          <w:type w:val="continuous"/>
          <w:pgSz w:w="12240" w:h="15840"/>
          <w:pgMar w:top="420" w:bottom="280" w:left="0" w:right="360"/>
        </w:sect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52"/>
        <w:ind w:firstLine="0"/>
        <w:rPr>
          <w:rFonts w:ascii="Courier New"/>
          <w:sz w:val="13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R</w:t>
      </w:r>
    </w:p>
    <w:p>
      <w:pPr>
        <w:spacing w:before="121"/>
        <w:ind w:left="345" w:right="0" w:firstLine="0"/>
        <w:jc w:val="left"/>
        <w:rPr>
          <w:b/>
          <w:sz w:val="15"/>
        </w:rPr>
      </w:pPr>
      <w:r>
        <w:rPr>
          <w:b/>
          <w:color w:val="E2E7F0"/>
          <w:w w:val="105"/>
          <w:sz w:val="15"/>
        </w:rPr>
        <w:t>Lead</w:t>
      </w:r>
      <w:r>
        <w:rPr>
          <w:b/>
          <w:color w:val="E2E7F0"/>
          <w:spacing w:val="-8"/>
          <w:w w:val="105"/>
          <w:sz w:val="15"/>
        </w:rPr>
        <w:t> </w:t>
      </w:r>
      <w:r>
        <w:rPr>
          <w:b/>
          <w:color w:val="E2E7F0"/>
          <w:w w:val="105"/>
          <w:sz w:val="15"/>
        </w:rPr>
        <w:t>Data</w:t>
      </w:r>
      <w:r>
        <w:rPr>
          <w:b/>
          <w:color w:val="E2E7F0"/>
          <w:spacing w:val="-7"/>
          <w:w w:val="105"/>
          <w:sz w:val="15"/>
        </w:rPr>
        <w:t> </w:t>
      </w:r>
      <w:r>
        <w:rPr>
          <w:b/>
          <w:color w:val="E2E7F0"/>
          <w:spacing w:val="-2"/>
          <w:w w:val="105"/>
          <w:sz w:val="15"/>
        </w:rPr>
        <w:t>Engineer</w:t>
      </w:r>
    </w:p>
    <w:p>
      <w:pPr>
        <w:spacing w:line="160" w:lineRule="exact" w:before="2"/>
        <w:ind w:left="345" w:right="0" w:firstLine="0"/>
        <w:jc w:val="left"/>
        <w:rPr>
          <w:sz w:val="14"/>
        </w:rPr>
      </w:pPr>
      <w:r>
        <w:rPr>
          <w:color w:val="C79059"/>
          <w:spacing w:val="-4"/>
          <w:w w:val="105"/>
          <w:sz w:val="14"/>
        </w:rPr>
        <w:t>Meta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Sep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2015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Sep</w:t>
      </w:r>
      <w:r>
        <w:rPr>
          <w:color w:val="94A2B8"/>
          <w:spacing w:val="-2"/>
          <w:sz w:val="13"/>
        </w:rPr>
        <w:t> </w:t>
      </w:r>
      <w:r>
        <w:rPr>
          <w:color w:val="94A2B8"/>
          <w:spacing w:val="-4"/>
          <w:sz w:val="13"/>
        </w:rPr>
        <w:t>2017</w:t>
      </w:r>
    </w:p>
    <w:p>
      <w:pPr>
        <w:spacing w:line="278" w:lineRule="auto" w:before="21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80+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Dataswarm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pipelines</w:t>
      </w:r>
      <w:r>
        <w:rPr>
          <w:color w:val="CBD5E1"/>
          <w:spacing w:val="-9"/>
          <w:sz w:val="14"/>
        </w:rPr>
        <w:t> </w:t>
      </w:r>
      <w:r>
        <w:rPr>
          <w:color w:val="CBD5E1"/>
          <w:sz w:val="14"/>
        </w:rPr>
        <w:t>for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petabyte-scale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ads; Cross Device Insights, Outcomes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Datamart + Norms DB</w:t>
      </w:r>
    </w:p>
    <w:p>
      <w:pPr>
        <w:spacing w:before="105"/>
        <w:ind w:left="345" w:right="1440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Data Engineer </w:t>
      </w:r>
      <w:r>
        <w:rPr>
          <w:color w:val="C79059"/>
          <w:w w:val="105"/>
          <w:sz w:val="14"/>
        </w:rPr>
        <w:t>GREE</w:t>
      </w:r>
      <w:r>
        <w:rPr>
          <w:color w:val="C79059"/>
          <w:spacing w:val="-11"/>
          <w:w w:val="105"/>
          <w:sz w:val="14"/>
        </w:rPr>
        <w:t> </w:t>
      </w:r>
      <w:r>
        <w:rPr>
          <w:color w:val="C79059"/>
          <w:w w:val="105"/>
          <w:sz w:val="14"/>
        </w:rPr>
        <w:t>International </w:t>
      </w:r>
      <w:r>
        <w:rPr>
          <w:color w:val="94A2B8"/>
          <w:w w:val="105"/>
          <w:sz w:val="13"/>
        </w:rPr>
        <w:t>2014 – 2015</w:t>
      </w:r>
    </w:p>
    <w:p>
      <w:pPr>
        <w:spacing w:line="268" w:lineRule="auto" w:before="22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PII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masking,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Vertica→Redshift,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1,000+</w:t>
      </w:r>
      <w:r>
        <w:rPr>
          <w:color w:val="CBD5E1"/>
          <w:spacing w:val="-9"/>
          <w:sz w:val="14"/>
        </w:rPr>
        <w:t> </w:t>
      </w:r>
      <w:r>
        <w:rPr>
          <w:color w:val="CBD5E1"/>
          <w:sz w:val="14"/>
        </w:rPr>
        <w:t>table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2"/>
          <w:sz w:val="14"/>
        </w:rPr>
        <w:t>optimization</w:t>
      </w:r>
    </w:p>
    <w:p>
      <w:pPr>
        <w:spacing w:before="110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Data</w:t>
      </w:r>
      <w:r>
        <w:rPr>
          <w:b/>
          <w:color w:val="E2E7F0"/>
          <w:spacing w:val="5"/>
          <w:sz w:val="15"/>
        </w:rPr>
        <w:t> </w:t>
      </w:r>
      <w:r>
        <w:rPr>
          <w:b/>
          <w:color w:val="E2E7F0"/>
          <w:spacing w:val="-2"/>
          <w:sz w:val="15"/>
        </w:rPr>
        <w:t>Architect</w:t>
      </w:r>
    </w:p>
    <w:p>
      <w:pPr>
        <w:spacing w:line="160" w:lineRule="exact" w:before="1"/>
        <w:ind w:left="345" w:right="0" w:firstLine="0"/>
        <w:jc w:val="left"/>
        <w:rPr>
          <w:sz w:val="14"/>
        </w:rPr>
      </w:pPr>
      <w:r>
        <w:rPr>
          <w:color w:val="C79059"/>
          <w:w w:val="105"/>
          <w:sz w:val="14"/>
        </w:rPr>
        <w:t>Chegg </w:t>
      </w:r>
      <w:r>
        <w:rPr>
          <w:color w:val="C79059"/>
          <w:spacing w:val="-4"/>
          <w:w w:val="105"/>
          <w:sz w:val="14"/>
        </w:rPr>
        <w:t>Inc.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Oct</w:t>
      </w:r>
      <w:r>
        <w:rPr>
          <w:color w:val="94A2B8"/>
          <w:spacing w:val="-4"/>
          <w:sz w:val="13"/>
        </w:rPr>
        <w:t> </w:t>
      </w:r>
      <w:r>
        <w:rPr>
          <w:color w:val="94A2B8"/>
          <w:sz w:val="13"/>
        </w:rPr>
        <w:t>2013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9"/>
          <w:sz w:val="13"/>
        </w:rPr>
        <w:t> </w:t>
      </w:r>
      <w:r>
        <w:rPr>
          <w:color w:val="94A2B8"/>
          <w:sz w:val="13"/>
        </w:rPr>
        <w:t>Apr</w:t>
      </w:r>
      <w:r>
        <w:rPr>
          <w:color w:val="94A2B8"/>
          <w:spacing w:val="-2"/>
          <w:sz w:val="13"/>
        </w:rPr>
        <w:t> </w:t>
      </w:r>
      <w:r>
        <w:rPr>
          <w:color w:val="94A2B8"/>
          <w:spacing w:val="-4"/>
          <w:sz w:val="13"/>
        </w:rPr>
        <w:t>2014</w:t>
      </w:r>
    </w:p>
    <w:p>
      <w:pPr>
        <w:spacing w:before="102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pacing w:val="-4"/>
          <w:w w:val="105"/>
          <w:sz w:val="15"/>
        </w:rPr>
        <w:t>Technical</w:t>
      </w:r>
      <w:r>
        <w:rPr>
          <w:b/>
          <w:color w:val="E2E7F0"/>
          <w:spacing w:val="7"/>
          <w:w w:val="105"/>
          <w:sz w:val="15"/>
        </w:rPr>
        <w:t> </w:t>
      </w:r>
      <w:r>
        <w:rPr>
          <w:b/>
          <w:color w:val="E2E7F0"/>
          <w:spacing w:val="-2"/>
          <w:w w:val="105"/>
          <w:sz w:val="15"/>
        </w:rPr>
        <w:t>Director</w:t>
      </w:r>
    </w:p>
    <w:p>
      <w:pPr>
        <w:spacing w:line="160" w:lineRule="exact" w:before="2"/>
        <w:ind w:left="345" w:right="0" w:firstLine="0"/>
        <w:jc w:val="left"/>
        <w:rPr>
          <w:sz w:val="14"/>
        </w:rPr>
      </w:pPr>
      <w:r>
        <w:rPr>
          <w:color w:val="C79059"/>
          <w:w w:val="105"/>
          <w:sz w:val="14"/>
        </w:rPr>
        <w:t>Model </w:t>
      </w:r>
      <w:r>
        <w:rPr>
          <w:color w:val="C79059"/>
          <w:spacing w:val="-10"/>
          <w:w w:val="105"/>
          <w:sz w:val="14"/>
        </w:rPr>
        <w:t>N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2011</w:t>
      </w:r>
      <w:r>
        <w:rPr>
          <w:color w:val="94A2B8"/>
          <w:spacing w:val="-7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7"/>
          <w:sz w:val="13"/>
        </w:rPr>
        <w:t> </w:t>
      </w:r>
      <w:r>
        <w:rPr>
          <w:color w:val="94A2B8"/>
          <w:spacing w:val="-4"/>
          <w:sz w:val="13"/>
        </w:rPr>
        <w:t>2013</w:t>
      </w:r>
    </w:p>
    <w:p>
      <w:pPr>
        <w:spacing w:line="290" w:lineRule="auto" w:before="21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Life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Sciences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BI,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cloud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migration,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ETL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2"/>
          <w:sz w:val="14"/>
        </w:rPr>
        <w:t>modularization</w:t>
      </w:r>
    </w:p>
    <w:p>
      <w:pPr>
        <w:spacing w:before="81"/>
        <w:ind w:left="345" w:right="1676" w:firstLine="0"/>
        <w:jc w:val="left"/>
        <w:rPr>
          <w:sz w:val="13"/>
        </w:rPr>
      </w:pPr>
      <w:r>
        <w:rPr>
          <w:b/>
          <w:color w:val="E2E7F0"/>
          <w:spacing w:val="-2"/>
          <w:sz w:val="15"/>
        </w:rPr>
        <w:t>Architect</w:t>
      </w:r>
      <w:r>
        <w:rPr>
          <w:b/>
          <w:color w:val="E2E7F0"/>
          <w:sz w:val="15"/>
        </w:rPr>
        <w:t> </w:t>
      </w:r>
      <w:r>
        <w:rPr>
          <w:color w:val="C79059"/>
          <w:spacing w:val="-2"/>
          <w:sz w:val="14"/>
        </w:rPr>
        <w:t>CallidusCloud</w:t>
      </w:r>
      <w:r>
        <w:rPr>
          <w:color w:val="C79059"/>
          <w:spacing w:val="40"/>
          <w:sz w:val="14"/>
        </w:rPr>
        <w:t> </w:t>
      </w:r>
      <w:r>
        <w:rPr>
          <w:color w:val="94A2B8"/>
          <w:sz w:val="13"/>
        </w:rPr>
        <w:t>2005 – 2011</w:t>
      </w:r>
    </w:p>
    <w:p>
      <w:pPr>
        <w:spacing w:line="290" w:lineRule="auto" w:before="22"/>
        <w:ind w:left="345" w:right="67" w:firstLine="0"/>
        <w:jc w:val="left"/>
        <w:rPr>
          <w:sz w:val="14"/>
        </w:rPr>
      </w:pPr>
      <w:r>
        <w:rPr>
          <w:color w:val="CBD5E1"/>
          <w:sz w:val="14"/>
        </w:rPr>
        <w:t>Incentive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comp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analytics,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BusinessObjects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6"/>
          <w:sz w:val="14"/>
        </w:rPr>
        <w:t>XI</w:t>
      </w:r>
    </w:p>
    <w:p>
      <w:pPr>
        <w:spacing w:before="81"/>
        <w:ind w:left="345" w:right="1440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DW</w:t>
      </w:r>
      <w:r>
        <w:rPr>
          <w:b/>
          <w:color w:val="E2E7F0"/>
          <w:spacing w:val="-11"/>
          <w:w w:val="105"/>
          <w:sz w:val="15"/>
        </w:rPr>
        <w:t> </w:t>
      </w:r>
      <w:r>
        <w:rPr>
          <w:b/>
          <w:color w:val="E2E7F0"/>
          <w:w w:val="105"/>
          <w:sz w:val="15"/>
        </w:rPr>
        <w:t>Architect </w:t>
      </w:r>
      <w:r>
        <w:rPr>
          <w:color w:val="C79059"/>
          <w:w w:val="105"/>
          <w:sz w:val="14"/>
        </w:rPr>
        <w:t>Hewlett</w:t>
      </w:r>
      <w:r>
        <w:rPr>
          <w:color w:val="C79059"/>
          <w:spacing w:val="-11"/>
          <w:w w:val="105"/>
          <w:sz w:val="14"/>
        </w:rPr>
        <w:t> </w:t>
      </w:r>
      <w:r>
        <w:rPr>
          <w:color w:val="C79059"/>
          <w:w w:val="105"/>
          <w:sz w:val="14"/>
        </w:rPr>
        <w:t>Packard </w:t>
      </w:r>
      <w:r>
        <w:rPr>
          <w:color w:val="94A2B8"/>
          <w:w w:val="105"/>
          <w:sz w:val="13"/>
        </w:rPr>
        <w:t>2001 – 2005</w:t>
      </w:r>
    </w:p>
    <w:p>
      <w:pPr>
        <w:spacing w:line="290" w:lineRule="auto" w:before="21"/>
        <w:ind w:left="345" w:right="67" w:firstLine="0"/>
        <w:jc w:val="left"/>
        <w:rPr>
          <w:sz w:val="14"/>
        </w:rPr>
      </w:pPr>
      <w:r>
        <w:rPr>
          <w:color w:val="CBD5E1"/>
          <w:sz w:val="14"/>
        </w:rPr>
        <w:t>Enterprise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DW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+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8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datamarts;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ETL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18→3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hrs; 40–50% sales lift via clickstream</w:t>
      </w:r>
    </w:p>
    <w:p>
      <w:pPr>
        <w:spacing w:before="81"/>
        <w:ind w:left="345" w:right="293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Data Architect / Sr. Engineer </w:t>
      </w:r>
      <w:r>
        <w:rPr>
          <w:color w:val="C79059"/>
          <w:w w:val="105"/>
          <w:sz w:val="14"/>
        </w:rPr>
        <w:t>Xoriant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·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Dept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of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Electronics,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India </w:t>
      </w:r>
      <w:r>
        <w:rPr>
          <w:color w:val="94A2B8"/>
          <w:w w:val="105"/>
          <w:sz w:val="13"/>
        </w:rPr>
        <w:t>1990 – 2001</w:t>
      </w:r>
    </w:p>
    <w:p>
      <w:pPr>
        <w:tabs>
          <w:tab w:pos="6792" w:val="left" w:leader="none"/>
        </w:tabs>
        <w:spacing w:before="76"/>
        <w:ind w:left="345" w:right="0" w:firstLine="0"/>
        <w:jc w:val="left"/>
        <w:rPr>
          <w:i/>
          <w:sz w:val="15"/>
        </w:rPr>
      </w:pPr>
      <w:r>
        <w:rPr/>
        <w:br w:type="column"/>
      </w:r>
      <w:r>
        <w:rPr>
          <w:b/>
          <w:color w:val="1D293B"/>
          <w:sz w:val="19"/>
        </w:rPr>
        <w:t>Lead</w:t>
      </w:r>
      <w:r>
        <w:rPr>
          <w:b/>
          <w:color w:val="1D293B"/>
          <w:spacing w:val="-7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12"/>
          <w:sz w:val="19"/>
        </w:rPr>
        <w:t> </w:t>
      </w:r>
      <w:r>
        <w:rPr>
          <w:b/>
          <w:color w:val="1D293B"/>
          <w:sz w:val="19"/>
        </w:rPr>
        <w:t>Architect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Partner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4"/>
          <w:sz w:val="19"/>
        </w:rPr>
        <w:t> </w:t>
      </w:r>
      <w:r>
        <w:rPr>
          <w:b/>
          <w:color w:val="1D293B"/>
          <w:spacing w:val="-2"/>
          <w:sz w:val="19"/>
        </w:rPr>
        <w:t>Engineering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Jan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2022 – Jan </w:t>
      </w:r>
      <w:r>
        <w:rPr>
          <w:i/>
          <w:color w:val="465469"/>
          <w:spacing w:val="-4"/>
          <w:sz w:val="15"/>
        </w:rPr>
        <w:t>2024</w:t>
      </w:r>
    </w:p>
    <w:p>
      <w:pPr>
        <w:spacing w:before="11"/>
        <w:ind w:left="345" w:right="0" w:firstLine="0"/>
        <w:jc w:val="left"/>
        <w:rPr>
          <w:sz w:val="17"/>
        </w:rPr>
      </w:pPr>
      <w:r>
        <w:rPr>
          <w:color w:val="C79059"/>
          <w:spacing w:val="-2"/>
          <w:sz w:val="17"/>
        </w:rPr>
        <w:t>VMware</w:t>
      </w:r>
    </w:p>
    <w:p>
      <w:pPr>
        <w:spacing w:line="230" w:lineRule="auto" w:before="9"/>
        <w:ind w:left="345" w:right="89" w:firstLine="0"/>
        <w:jc w:val="left"/>
        <w:rPr>
          <w:i/>
          <w:sz w:val="15"/>
        </w:rPr>
      </w:pPr>
      <w:r>
        <w:rPr>
          <w:i/>
          <w:color w:val="465469"/>
          <w:sz w:val="15"/>
        </w:rPr>
        <w:t>Strategic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architect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for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VMware's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Partner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Data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Platform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—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unifying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fragmented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partner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data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into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single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governed</w:t>
      </w:r>
      <w:r>
        <w:rPr>
          <w:i/>
          <w:color w:val="465469"/>
          <w:sz w:val="15"/>
        </w:rPr>
        <w:t> analytics layer</w:t>
      </w:r>
    </w:p>
    <w:p>
      <w:pPr>
        <w:pStyle w:val="Heading2"/>
      </w:pPr>
      <w:r>
        <w:rPr>
          <w:color w:val="1A2E45"/>
        </w:rPr>
        <w:t>Data</w:t>
      </w:r>
      <w:r>
        <w:rPr>
          <w:color w:val="1A2E45"/>
          <w:spacing w:val="-11"/>
        </w:rPr>
        <w:t> </w:t>
      </w:r>
      <w:r>
        <w:rPr>
          <w:color w:val="1A2E45"/>
        </w:rPr>
        <w:t>Architecture</w:t>
      </w:r>
      <w:r>
        <w:rPr>
          <w:color w:val="1A2E45"/>
          <w:spacing w:val="-7"/>
        </w:rPr>
        <w:t> </w:t>
      </w:r>
      <w:r>
        <w:rPr>
          <w:color w:val="1A2E45"/>
        </w:rPr>
        <w:t>&amp;</w:t>
      </w:r>
      <w:r>
        <w:rPr>
          <w:color w:val="1A2E45"/>
          <w:spacing w:val="-6"/>
        </w:rPr>
        <w:t> </w:t>
      </w:r>
      <w:r>
        <w:rPr>
          <w:color w:val="1A2E45"/>
        </w:rPr>
        <w:t>Platform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Unification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2" w:after="0"/>
        <w:ind w:left="510" w:right="17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built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Platform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from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ground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up,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unifying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fragmented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from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10+ disparate sources into a single governed analytics layer — eliminating data silos that had blocked cross-functional decision-making for years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39" w:after="0"/>
        <w:ind w:left="510" w:right="192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intuitive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catalog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model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(Python/Confluence)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drove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broad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self-service adoption, cutting reliance on tribal knowledge by 60% and reducing ad-hoc data request volume to the data team by ~40%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7" w:after="0"/>
        <w:ind w:left="510" w:right="308" w:hanging="165"/>
        <w:jc w:val="both"/>
        <w:rPr>
          <w:color w:val="C79059"/>
          <w:position w:val="1"/>
          <w:sz w:val="11"/>
        </w:rPr>
      </w:pPr>
      <w:r>
        <w:rPr>
          <w:color w:val="1D293B"/>
          <w:sz w:val="16"/>
        </w:rPr>
        <w:t>Implemented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VMware's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first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structured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for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classification,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lineage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tracking, 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policy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enforcement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achieving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audit-ready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status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enabling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pass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reviews without remediation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39" w:after="0"/>
        <w:ind w:left="510" w:right="362" w:hanging="165"/>
        <w:jc w:val="both"/>
        <w:rPr>
          <w:color w:val="C79059"/>
          <w:position w:val="1"/>
          <w:sz w:val="11"/>
        </w:rPr>
      </w:pPr>
      <w:r>
        <w:rPr>
          <w:color w:val="1D293B"/>
          <w:sz w:val="16"/>
        </w:rPr>
        <w:t>Improved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consistency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by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60%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through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standardized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naming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conventions,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automated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quality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checks, 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contracts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directly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downstream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reporting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errors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caused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quarterly </w:t>
      </w:r>
      <w:r>
        <w:rPr>
          <w:color w:val="1D293B"/>
          <w:spacing w:val="-2"/>
          <w:sz w:val="16"/>
        </w:rPr>
        <w:t>restatements</w:t>
      </w:r>
    </w:p>
    <w:p>
      <w:pPr>
        <w:pStyle w:val="Heading2"/>
        <w:spacing w:before="70"/>
        <w:jc w:val="both"/>
      </w:pPr>
      <w:r>
        <w:rPr>
          <w:color w:val="1A2E45"/>
        </w:rPr>
        <w:t>AI</w:t>
      </w:r>
      <w:r>
        <w:rPr>
          <w:color w:val="1A2E45"/>
          <w:spacing w:val="-5"/>
        </w:rPr>
        <w:t> </w:t>
      </w:r>
      <w:r>
        <w:rPr>
          <w:color w:val="1A2E45"/>
        </w:rPr>
        <w:t>&amp;</w:t>
      </w:r>
      <w:r>
        <w:rPr>
          <w:color w:val="1A2E45"/>
          <w:spacing w:val="-5"/>
        </w:rPr>
        <w:t> </w:t>
      </w:r>
      <w:r>
        <w:rPr>
          <w:color w:val="1A2E45"/>
        </w:rPr>
        <w:t>Performance</w:t>
      </w:r>
      <w:r>
        <w:rPr>
          <w:color w:val="1A2E45"/>
          <w:spacing w:val="-4"/>
        </w:rPr>
        <w:t> </w:t>
      </w:r>
      <w:r>
        <w:rPr>
          <w:color w:val="1A2E45"/>
          <w:spacing w:val="-2"/>
        </w:rPr>
        <w:t>Engineering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1" w:after="0"/>
        <w:ind w:left="510" w:right="18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Pioneered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</w:t>
      </w:r>
      <w:r>
        <w:rPr>
          <w:color w:val="1D293B"/>
          <w:spacing w:val="-11"/>
          <w:sz w:val="16"/>
        </w:rPr>
        <w:t> </w:t>
      </w:r>
      <w:r>
        <w:rPr>
          <w:color w:val="1D293B"/>
          <w:sz w:val="16"/>
        </w:rPr>
        <w:t>AI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copilot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for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retrieval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optimization,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coding,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best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practices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one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VMware's earliest LLM-assisted data engineering deployments, reducing routine query development time by ~30%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12" w:lineRule="auto" w:before="46" w:after="0"/>
        <w:ind w:left="510" w:right="188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Achieved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40%+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Spark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processing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time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improvements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through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broadcast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joins,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caching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strategies,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skew management — enabling SLA-critical reports to complete within their delivery windows for the first time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31" w:after="0"/>
        <w:ind w:left="510" w:right="18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Established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automated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monitoring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proactive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alerting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replaced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reactive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firefighting,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pipeline incident response time from hours to minutes and cutting weekend on-call escalations significantly</w:t>
      </w:r>
    </w:p>
    <w:p>
      <w:pPr>
        <w:pStyle w:val="Heading2"/>
        <w:spacing w:before="77"/>
      </w:pPr>
      <w:r>
        <w:rPr>
          <w:color w:val="1A2E45"/>
        </w:rPr>
        <w:t>Leadership</w:t>
      </w:r>
      <w:r>
        <w:rPr>
          <w:color w:val="1A2E45"/>
          <w:spacing w:val="-12"/>
        </w:rPr>
        <w:t> </w:t>
      </w:r>
      <w:r>
        <w:rPr>
          <w:color w:val="1A2E45"/>
        </w:rPr>
        <w:t>&amp;</w:t>
      </w:r>
      <w:r>
        <w:rPr>
          <w:color w:val="1A2E45"/>
          <w:spacing w:val="-9"/>
        </w:rPr>
        <w:t> </w:t>
      </w:r>
      <w:r>
        <w:rPr>
          <w:color w:val="1A2E45"/>
        </w:rPr>
        <w:t>Cross-Functional</w:t>
      </w:r>
      <w:r>
        <w:rPr>
          <w:color w:val="1A2E45"/>
          <w:spacing w:val="-11"/>
        </w:rPr>
        <w:t> </w:t>
      </w:r>
      <w:r>
        <w:rPr>
          <w:color w:val="1A2E45"/>
          <w:spacing w:val="-2"/>
        </w:rPr>
        <w:t>Alignment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1" w:after="0"/>
        <w:ind w:left="510" w:right="73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Drove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alignment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across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5+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via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shared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roadmaps,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duplicate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 development efforts by ~25% and accelerating delivery cycles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6" w:after="0"/>
        <w:ind w:left="510" w:right="721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Led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workshops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knowledge-sharing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sessions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upskilled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30+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consumers,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building organizational data literacy and reducing the "data team as bottleneck" pattern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12" w:lineRule="auto" w:before="46" w:after="0"/>
        <w:ind w:left="510" w:right="343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Engaged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director/VP-level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stakeholders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define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unified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vision,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securing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budget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headcount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for the platform roadmap — resulting in the team growing from 3 to 8 engineers during the engagement</w:t>
      </w:r>
    </w:p>
    <w:p>
      <w:pPr>
        <w:pStyle w:val="ListParagraph"/>
        <w:spacing w:after="0" w:line="312" w:lineRule="auto"/>
        <w:jc w:val="left"/>
        <w:rPr>
          <w:position w:val="1"/>
          <w:sz w:val="11"/>
        </w:rPr>
        <w:sectPr>
          <w:pgSz w:w="12240" w:h="15840"/>
          <w:pgMar w:top="420" w:bottom="0" w:left="0" w:right="360"/>
          <w:cols w:num="2" w:equalWidth="0">
            <w:col w:w="3128" w:space="415"/>
            <w:col w:w="8337"/>
          </w:cols>
        </w:sectPr>
      </w:pPr>
    </w:p>
    <w:p>
      <w:pPr>
        <w:tabs>
          <w:tab w:pos="10359" w:val="left" w:leader="none"/>
        </w:tabs>
        <w:spacing w:before="153"/>
        <w:ind w:left="3887" w:right="0" w:firstLine="0"/>
        <w:jc w:val="left"/>
        <w:rPr>
          <w:i/>
          <w:sz w:val="15"/>
        </w:rPr>
      </w:pPr>
      <w:r>
        <w:rPr>
          <w:i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45984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58" name="Group 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" name="Group 58"/>
                      <wpg:cNvGrpSpPr/>
                      <wpg:grpSpPr>
                        <a:xfrm>
                          <a:off x="0" y="0"/>
                          <a:ext cx="7772400" cy="10058400"/>
                          <a:chExt cx="7772400" cy="10058400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2190749" y="0"/>
                            <a:ext cx="558165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1650" h="10058400">
                                <a:moveTo>
                                  <a:pt x="0" y="10058399"/>
                                </a:moveTo>
                                <a:lnTo>
                                  <a:pt x="5581649" y="10058399"/>
                                </a:lnTo>
                                <a:lnTo>
                                  <a:pt x="5581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0583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B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219075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10058400">
                                <a:moveTo>
                                  <a:pt x="2190749" y="10058399"/>
                                </a:moveTo>
                                <a:lnTo>
                                  <a:pt x="0" y="10058399"/>
                                </a:lnTo>
                                <a:lnTo>
                                  <a:pt x="0" y="0"/>
                                </a:lnTo>
                                <a:lnTo>
                                  <a:pt x="2190749" y="0"/>
                                </a:lnTo>
                                <a:lnTo>
                                  <a:pt x="2190749" y="100583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E4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219074" y="790575"/>
                            <a:ext cx="1752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2600" h="9525">
                                <a:moveTo>
                                  <a:pt x="17525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1752599" y="0"/>
                                </a:lnTo>
                                <a:lnTo>
                                  <a:pt x="17525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9059">
                              <a:alpha val="250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48pt;width:612pt;height:792pt;mso-position-horizontal-relative:page;mso-position-vertical-relative:page;z-index:-15856640" id="docshapegroup58" coordorigin="0,0" coordsize="12240,15840">
                <v:rect style="position:absolute;left:3450;top:0;width:8790;height:15840" id="docshape59" filled="true" fillcolor="#fefbf9" stroked="false">
                  <v:fill type="solid"/>
                </v:rect>
                <v:rect style="position:absolute;left:0;top:0;width:3450;height:15840" id="docshape60" filled="true" fillcolor="#1a2e45" stroked="false">
                  <v:fill type="solid"/>
                </v:rect>
                <v:rect style="position:absolute;left:345;top:1245;width:2760;height:15" id="docshape61" filled="true" fillcolor="#c79059" stroked="false">
                  <v:fill opacity="16449f" type="solid"/>
                </v:rect>
                <w10:wrap type="none"/>
              </v:group>
            </w:pict>
          </mc:Fallback>
        </mc:AlternateContent>
      </w:r>
      <w:r>
        <w:rPr>
          <w:b/>
          <w:color w:val="1D293B"/>
          <w:sz w:val="19"/>
        </w:rPr>
        <w:t>Senior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Consultant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11"/>
          <w:sz w:val="19"/>
        </w:rPr>
        <w:t> </w:t>
      </w:r>
      <w:r>
        <w:rPr>
          <w:b/>
          <w:color w:val="1D293B"/>
          <w:sz w:val="19"/>
        </w:rPr>
        <w:t>Ads,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Commerce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&amp;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pacing w:val="-2"/>
          <w:sz w:val="19"/>
        </w:rPr>
        <w:t>Privacy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Jul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2019 – Dec </w:t>
      </w:r>
      <w:r>
        <w:rPr>
          <w:i/>
          <w:color w:val="465469"/>
          <w:spacing w:val="-4"/>
          <w:sz w:val="15"/>
        </w:rPr>
        <w:t>2021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4"/>
          <w:sz w:val="17"/>
        </w:rPr>
        <w:t>Meta</w:t>
      </w:r>
    </w:p>
    <w:p>
      <w:pPr>
        <w:spacing w:line="230" w:lineRule="auto" w:before="9"/>
        <w:ind w:left="3887" w:right="75" w:firstLine="0"/>
        <w:jc w:val="left"/>
        <w:rPr>
          <w:i/>
          <w:sz w:val="15"/>
        </w:rPr>
      </w:pPr>
      <w:r>
        <w:rPr>
          <w:i/>
          <w:color w:val="465469"/>
          <w:sz w:val="15"/>
        </w:rPr>
        <w:t>Led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high-impact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projects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across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Meta's</w:t>
      </w:r>
      <w:r>
        <w:rPr>
          <w:i/>
          <w:color w:val="465469"/>
          <w:spacing w:val="-9"/>
          <w:sz w:val="15"/>
        </w:rPr>
        <w:t> </w:t>
      </w:r>
      <w:r>
        <w:rPr>
          <w:i/>
          <w:color w:val="465469"/>
          <w:sz w:val="15"/>
        </w:rPr>
        <w:t>Ads,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Commerce,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and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Privacy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teams,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architecting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secure,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scalable,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and</w:t>
      </w:r>
      <w:r>
        <w:rPr>
          <w:i/>
          <w:color w:val="465469"/>
          <w:sz w:val="15"/>
        </w:rPr>
        <w:t> compliant data platforms</w:t>
      </w:r>
    </w:p>
    <w:p>
      <w:pPr>
        <w:pStyle w:val="Heading2"/>
        <w:spacing w:before="74"/>
        <w:ind w:left="3917"/>
      </w:pPr>
      <w:r>
        <w:rPr>
          <w:color w:val="1A2E45"/>
        </w:rPr>
        <w:t>Commerce</w:t>
      </w:r>
      <w:r>
        <w:rPr>
          <w:color w:val="1A2E45"/>
          <w:spacing w:val="-7"/>
        </w:rPr>
        <w:t> </w:t>
      </w:r>
      <w:r>
        <w:rPr>
          <w:color w:val="1A2E45"/>
        </w:rPr>
        <w:t>Data</w:t>
      </w:r>
      <w:r>
        <w:rPr>
          <w:color w:val="1A2E45"/>
          <w:spacing w:val="-10"/>
        </w:rPr>
        <w:t> </w:t>
      </w:r>
      <w:r>
        <w:rPr>
          <w:color w:val="1A2E45"/>
          <w:spacing w:val="-2"/>
        </w:rPr>
        <w:t>Architecture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Architected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centralized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warehouse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unified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product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seller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into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single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analytics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layer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— enabling commerce teams to reduce decision-making cycle time from weeks to days and directly informing category investment strategies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0" w:after="0"/>
        <w:ind w:left="4052" w:right="22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launched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Category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Management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Warehouse,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providing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deep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cross-vertical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analysis that empowered commerce teams to identify underperforming seller segments and reallocate resources, contributing to measurable GMV growth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39" w:after="0"/>
        <w:ind w:left="4052" w:right="27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Owned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SMB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funnel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redesign,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improving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query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performance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3x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while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maintaining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key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functionality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 enabling the pipeline to scale from thousands to tens of thousands of small business advertisers without infrastructure changes</w:t>
      </w:r>
    </w:p>
    <w:p>
      <w:pPr>
        <w:pStyle w:val="Heading2"/>
        <w:spacing w:before="55"/>
        <w:ind w:left="3917"/>
      </w:pPr>
      <w:r>
        <w:rPr>
          <w:color w:val="1A2E45"/>
        </w:rPr>
        <w:t>Privacy</w:t>
      </w:r>
      <w:r>
        <w:rPr>
          <w:color w:val="1A2E45"/>
          <w:spacing w:val="-7"/>
        </w:rPr>
        <w:t> </w:t>
      </w:r>
      <w:r>
        <w:rPr>
          <w:color w:val="1A2E45"/>
        </w:rPr>
        <w:t>Engineering</w:t>
      </w:r>
      <w:r>
        <w:rPr>
          <w:color w:val="1A2E45"/>
          <w:spacing w:val="-6"/>
        </w:rPr>
        <w:t> </w:t>
      </w:r>
      <w:r>
        <w:rPr>
          <w:color w:val="1A2E45"/>
        </w:rPr>
        <w:t>&amp;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Compliance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326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Led privacy remediation across 1,200+ SMB 2.0, Customer Journey, and BPO tables — resolving critical design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flaws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left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team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exposed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risk,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establishing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remediation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patterns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later adopted at scale in the Safe Ads program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39" w:after="0"/>
        <w:ind w:left="4052" w:right="45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Collaborated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with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Hive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Anonymization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engineers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enhance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anonymization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processes,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enabling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ads and commerce data products to pass privacy audits without manual intervention — reducing audit preparation effort by ~60%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40" w:after="0"/>
        <w:ind w:left="4052" w:right="25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Drove Salesforce ID deprecation and Facebook ID integration across 1,000+ pipelines, eliminating an external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vendor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dependency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caused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consistency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issues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affecting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~15%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cross-system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joins</w:t>
      </w:r>
    </w:p>
    <w:p>
      <w:pPr>
        <w:pStyle w:val="Heading2"/>
        <w:spacing w:before="76"/>
        <w:ind w:left="3917"/>
      </w:pPr>
      <w:r>
        <w:rPr>
          <w:color w:val="1A2E45"/>
        </w:rPr>
        <w:t>Data</w:t>
      </w:r>
      <w:r>
        <w:rPr>
          <w:color w:val="1A2E45"/>
          <w:spacing w:val="-6"/>
        </w:rPr>
        <w:t> </w:t>
      </w:r>
      <w:r>
        <w:rPr>
          <w:color w:val="1A2E45"/>
        </w:rPr>
        <w:t>Platform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Migration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156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Spearheaded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migration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1,000+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Spark,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automating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~70%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conversion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tasks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 what was projected as a 12-month migration to under 6 months and enabling commerce/payments teams to benefit from Spark's performance gains ahead of schedule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0" w:after="0"/>
        <w:ind w:left="4052" w:right="19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Built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chargeback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representment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leakage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dashboards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(FGF,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Dataswarm,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Unidash)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identified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~$XM+ in previously undetected revenue leakage, enabling the finance team to recover funds and close monitoring </w:t>
      </w:r>
      <w:r>
        <w:rPr>
          <w:color w:val="1D293B"/>
          <w:spacing w:val="-4"/>
          <w:sz w:val="16"/>
        </w:rPr>
        <w:t>gaps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39" w:after="0"/>
        <w:ind w:left="4052" w:right="17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Marketplace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App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reliability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dashboard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covering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payin/payouts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user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stability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MTTR for payment-related incidents by providing real-time visibility that replaced manual log analysis</w:t>
      </w:r>
    </w:p>
    <w:p>
      <w:pPr>
        <w:pStyle w:val="ListParagraph"/>
        <w:spacing w:after="0" w:line="292" w:lineRule="auto"/>
        <w:jc w:val="left"/>
        <w:rPr>
          <w:position w:val="3"/>
          <w:sz w:val="11"/>
        </w:rPr>
        <w:sectPr>
          <w:type w:val="continuous"/>
          <w:pgSz w:w="12240" w:h="15840"/>
          <w:pgMar w:top="420" w:bottom="280" w:left="0" w:right="360"/>
        </w:sectPr>
      </w:pPr>
    </w:p>
    <w:p>
      <w:pPr>
        <w:spacing w:before="83"/>
        <w:ind w:left="3887" w:right="0" w:firstLine="0"/>
        <w:jc w:val="left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46035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7772400" cy="10058400"/>
                          <a:chExt cx="7772400" cy="1005840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11"/>
                            <a:ext cx="77724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0058400">
                                <a:moveTo>
                                  <a:pt x="77723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6675"/>
                                </a:lnTo>
                                <a:lnTo>
                                  <a:pt x="2190737" y="66675"/>
                                </a:lnTo>
                                <a:lnTo>
                                  <a:pt x="2190737" y="10058387"/>
                                </a:lnTo>
                                <a:lnTo>
                                  <a:pt x="7772387" y="10058387"/>
                                </a:lnTo>
                                <a:lnTo>
                                  <a:pt x="7772387" y="66675"/>
                                </a:lnTo>
                                <a:lnTo>
                                  <a:pt x="77723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B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66673"/>
                            <a:ext cx="2190750" cy="9991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9991725">
                                <a:moveTo>
                                  <a:pt x="2190749" y="9991724"/>
                                </a:moveTo>
                                <a:lnTo>
                                  <a:pt x="0" y="9991724"/>
                                </a:lnTo>
                                <a:lnTo>
                                  <a:pt x="0" y="0"/>
                                </a:lnTo>
                                <a:lnTo>
                                  <a:pt x="2190749" y="0"/>
                                </a:lnTo>
                                <a:lnTo>
                                  <a:pt x="2190749" y="9991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E4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68pt;width:612pt;height:792pt;mso-position-horizontal-relative:page;mso-position-vertical-relative:page;z-index:-15856128" id="docshapegroup62" coordorigin="0,0" coordsize="12240,15840">
                <v:shape style="position:absolute;left:0;top:0;width:12240;height:15840" id="docshape63" coordorigin="0,0" coordsize="12240,15840" path="m12240,0l0,0,0,105,3450,105,3450,15840,12240,15840,12240,105,12240,0xe" filled="true" fillcolor="#fefbf9" stroked="false">
                  <v:path arrowok="t"/>
                  <v:fill type="solid"/>
                </v:shape>
                <v:rect style="position:absolute;left:0;top:105;width:3450;height:15735" id="docshape64" filled="true" fillcolor="#1a2e45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O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L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X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P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pacing w:val="-10"/>
          <w:sz w:val="14"/>
        </w:rPr>
        <w:t>E</w:t>
      </w:r>
    </w:p>
    <w:p>
      <w:pPr>
        <w:tabs>
          <w:tab w:pos="10323" w:val="left" w:leader="none"/>
        </w:tabs>
        <w:spacing w:before="95"/>
        <w:ind w:left="3887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>Data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Engineer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pacing w:val="-2"/>
          <w:sz w:val="19"/>
        </w:rPr>
        <w:t>Consultant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Dec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2017 –</w:t>
      </w:r>
      <w:r>
        <w:rPr>
          <w:i/>
          <w:color w:val="465469"/>
          <w:spacing w:val="-6"/>
          <w:sz w:val="15"/>
        </w:rPr>
        <w:t> </w:t>
      </w:r>
      <w:r>
        <w:rPr>
          <w:i/>
          <w:color w:val="465469"/>
          <w:sz w:val="15"/>
        </w:rPr>
        <w:t>Apr </w:t>
      </w:r>
      <w:r>
        <w:rPr>
          <w:i/>
          <w:color w:val="465469"/>
          <w:spacing w:val="-4"/>
          <w:sz w:val="15"/>
        </w:rPr>
        <w:t>2018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2"/>
          <w:sz w:val="17"/>
        </w:rPr>
        <w:t>LinkedIn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12" w:lineRule="auto" w:before="24" w:after="0"/>
        <w:ind w:left="4052" w:right="515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Led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GDPR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efforts: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encrypted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sensitive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customer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LinkedIn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Dali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storage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using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Hive, Python, and Pig; retired legacy data sources and feeds; migrated to a stable, compliant framework</w:t>
      </w:r>
    </w:p>
    <w:p>
      <w:pPr>
        <w:tabs>
          <w:tab w:pos="10284" w:val="left" w:leader="none"/>
        </w:tabs>
        <w:spacing w:before="154"/>
        <w:ind w:left="3887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>Lead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Engineer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pacing w:val="-2"/>
          <w:sz w:val="19"/>
        </w:rPr>
        <w:t>Consultant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Sep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2015 – Sep </w:t>
      </w:r>
      <w:r>
        <w:rPr>
          <w:i/>
          <w:color w:val="465469"/>
          <w:spacing w:val="-4"/>
          <w:sz w:val="15"/>
        </w:rPr>
        <w:t>2017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4"/>
          <w:sz w:val="17"/>
        </w:rPr>
        <w:t>Meta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24" w:after="0"/>
        <w:ind w:left="4052" w:right="25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Developed 80+ complex Dataswarm pipelines for petabyte-scale ads data across Sales Operations and Marketing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Intelligence: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Cross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Device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Insights,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Global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Account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Gaming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Apps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Reporting,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Outcomes Datamart + Norms DB, Facebook Media &amp; Live Monetization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12" w:lineRule="auto" w:before="46" w:after="0"/>
        <w:ind w:left="4052" w:right="619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Deep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expertise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petabyte-scale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ads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partnering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with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cross-functional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optimize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revenue generation strategies and deliver scalable analytics</w:t>
      </w:r>
    </w:p>
    <w:sectPr>
      <w:pgSz w:w="12240" w:h="15840"/>
      <w:pgMar w:top="160" w:bottom="280" w:left="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Segoe UI Symbol">
    <w:altName w:val="Segoe UI Symbol"/>
    <w:charset w:val="0"/>
    <w:family w:val="swiss"/>
    <w:pitch w:val="variable"/>
  </w:font>
  <w:font w:name="Courier New">
    <w:altName w:val="Courier New"/>
    <w:charset w:val="0"/>
    <w:family w:val="modern"/>
    <w:pitch w:val="fixed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▪"/>
      <w:lvlJc w:val="left"/>
      <w:pPr>
        <w:ind w:left="510" w:hanging="165"/>
      </w:pPr>
      <w:rPr>
        <w:rFonts w:hint="default" w:ascii="Arial" w:hAnsi="Arial" w:eastAsia="Arial" w:cs="Arial"/>
        <w:spacing w:val="0"/>
        <w:w w:val="100"/>
        <w:lang w:val="en-US" w:eastAsia="en-US" w:bidi="ar-SA"/>
      </w:rPr>
    </w:lvl>
    <w:lvl w:ilvl="1">
      <w:start w:val="0"/>
      <w:numFmt w:val="bullet"/>
      <w:lvlText w:val="▪"/>
      <w:lvlJc w:val="left"/>
      <w:pPr>
        <w:ind w:left="4052" w:hanging="165"/>
      </w:pPr>
      <w:rPr>
        <w:rFonts w:hint="default" w:ascii="Arial" w:hAnsi="Arial" w:eastAsia="Arial" w:cs="Arial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4535" w:hanging="1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010" w:hanging="1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485" w:hanging="1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61" w:hanging="1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36" w:hanging="1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11" w:hanging="1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87" w:hanging="16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480" w:hanging="135"/>
      </w:pPr>
      <w:rPr>
        <w:rFonts w:hint="default" w:ascii="Arial" w:hAnsi="Arial" w:eastAsia="Arial" w:cs="Arial"/>
        <w:b w:val="0"/>
        <w:bCs w:val="0"/>
        <w:i w:val="0"/>
        <w:iCs w:val="0"/>
        <w:color w:val="C79059"/>
        <w:spacing w:val="0"/>
        <w:w w:val="105"/>
        <w:sz w:val="14"/>
        <w:szCs w:val="1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37" w:hanging="1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95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53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11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769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26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284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542" w:hanging="135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41"/>
      <w:ind w:hanging="165"/>
    </w:pPr>
    <w:rPr>
      <w:rFonts w:ascii="Arial" w:hAnsi="Arial" w:eastAsia="Arial" w:cs="Arial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8"/>
      <w:ind w:left="345"/>
      <w:outlineLvl w:val="1"/>
    </w:pPr>
    <w:rPr>
      <w:rFonts w:ascii="Times New Roman" w:hAnsi="Times New Roman" w:eastAsia="Times New Roman" w:cs="Times New Roman"/>
      <w:b/>
      <w:bCs/>
      <w:sz w:val="50"/>
      <w:szCs w:val="5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3"/>
      <w:ind w:left="375"/>
      <w:outlineLvl w:val="2"/>
    </w:pPr>
    <w:rPr>
      <w:rFonts w:ascii="Arial" w:hAnsi="Arial" w:eastAsia="Arial" w:cs="Arial"/>
      <w:b/>
      <w:bCs/>
      <w:sz w:val="16"/>
      <w:szCs w:val="1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40"/>
      <w:ind w:left="510" w:hanging="165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file://localhost/cdn-cgi/l/email-protection" TargetMode="External"/><Relationship Id="rId6" Type="http://schemas.openxmlformats.org/officeDocument/2006/relationships/hyperlink" Target="https://www.linkedin.com/in/paddyiyer" TargetMode="External"/><Relationship Id="rId7" Type="http://schemas.openxmlformats.org/officeDocument/2006/relationships/hyperlink" Target="https://paddyspeaks.com/" TargetMode="External"/><Relationship Id="rId8" Type="http://schemas.openxmlformats.org/officeDocument/2006/relationships/hyperlink" Target="https://github.com/paddyriyer" TargetMode="External"/><Relationship Id="rId9" Type="http://schemas.openxmlformats.org/officeDocument/2006/relationships/image" Target="media/image1.png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Paddy Iyer — Resume (Detailed)</dc:title>
  <dcterms:created xsi:type="dcterms:W3CDTF">2026-04-09T22:10:09Z</dcterms:created>
  <dcterms:modified xsi:type="dcterms:W3CDTF">2026-04-09T22:10:09Z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2026-04-09T00:00:00Z</vt:filetime>
  </property>
  <property fmtid="{D5CDD505-2E9C-101B-9397-08002B2CF9AE}" pid="3" name="Creator">
    <vt:lpwstr>Mozilla/5.0 (X11; Linux x86_64) AppleWebKit/537.36 (KHTML, like Gecko) HeadlessChrome/131.0.0.0 Safari/537.36</vt:lpwstr>
  </property>
  <property fmtid="{D5CDD505-2E9C-101B-9397-08002B2CF9AE}" pid="4" name="LastSaved">
    <vt:filetime>2026-04-09T00:00:00Z</vt:filetime>
  </property>
  <property fmtid="{D5CDD505-2E9C-101B-9397-08002B2CF9AE}" pid="5" name="Producer">
    <vt:lpwstr>Skia/PDF m131</vt:lpwstr>
  </property>
</Properties>
</file>