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8420"/>
        <w:tblGridChange w:id="0">
          <w:tblGrid>
            <w:gridCol w:w="3100"/>
            <w:gridCol w:w="84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c2b45" w:val="clear"/>
            <w:tcMar>
              <w:top w:w="200.0" w:type="dxa"/>
              <w:left w:w="220.0" w:type="dxa"/>
              <w:bottom w:w="24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bottom w:color="55678a" w:space="3" w:sz="4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6"/>
                <w:szCs w:val="16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4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9956b"/>
                <w:sz w:val="16"/>
                <w:szCs w:val="16"/>
                <w:rtl w:val="0"/>
              </w:rPr>
              <w:t xml:space="preserve">paddy.iyer@gmail.com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4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dce1ea"/>
                <w:sz w:val="16"/>
                <w:szCs w:val="16"/>
                <w:rtl w:val="0"/>
              </w:rPr>
              <w:t xml:space="preserve">linkedin.com/in/paddyiyer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dce1ea"/>
                <w:sz w:val="16"/>
                <w:szCs w:val="16"/>
                <w:rtl w:val="0"/>
              </w:rPr>
              <w:t xml:space="preserve">paddyspeaks.com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dce1ea"/>
                <w:sz w:val="16"/>
                <w:szCs w:val="16"/>
                <w:rtl w:val="0"/>
              </w:rPr>
              <w:t xml:space="preserve">github.com/paddyriyer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8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dce1ea"/>
                <w:sz w:val="16"/>
                <w:szCs w:val="16"/>
                <w:rtl w:val="0"/>
              </w:rPr>
              <w:t xml:space="preserve">San Francisco Bay 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bottom w:color="55678a" w:space="3" w:sz="4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6"/>
                <w:szCs w:val="16"/>
                <w:rtl w:val="0"/>
              </w:rPr>
              <w:t xml:space="preserve">TECHNICAL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Spark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Hive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Hadoop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Databricks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Delta Lake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Snowflake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Redshift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dbt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Airflow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Dataswarm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AWS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Azure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GCP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Terraform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Kubernetes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Python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SQL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Scala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LLM/RAG Pipelines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Claude Code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AI Agents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Prompt Eng.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LangChain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GitHub Copilot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MLflow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Diff. Privacy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Unity Catalog </w:t>
            </w:r>
            <w:r w:rsidDel="00000000" w:rsidR="00000000" w:rsidRPr="00000000">
              <w:rPr>
                <w:rFonts w:ascii="Calibri" w:cs="Calibri" w:eastAsia="Calibri" w:hAnsi="Calibri"/>
                <w:sz w:val="15"/>
                <w:szCs w:val="15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shd w:fill="2b3d5c" w:val="clear"/>
                <w:rtl w:val="0"/>
              </w:rPr>
              <w:t xml:space="preserve"> Data Mesh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bottom w:color="55678a" w:space="3" w:sz="4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6"/>
                <w:szCs w:val="16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Data Engineering Cert.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7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94a1b8"/>
                <w:sz w:val="16"/>
                <w:szCs w:val="16"/>
                <w:rtl w:val="0"/>
              </w:rPr>
              <w:t xml:space="preserve">UC Santa Cruz, 2013–14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B.S. Electrical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7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94a1b8"/>
                <w:sz w:val="16"/>
                <w:szCs w:val="16"/>
                <w:rtl w:val="0"/>
              </w:rPr>
              <w:t xml:space="preserve">Sardar Patel College of Eng.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Diploma, Electronics &amp; Comms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80" w:lin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94a1b8"/>
                <w:sz w:val="16"/>
                <w:szCs w:val="16"/>
                <w:rtl w:val="0"/>
              </w:rPr>
              <w:t xml:space="preserve">Technical Board, Tamil Nadu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bottom w:color="55678a" w:space="3" w:sz="4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6"/>
                <w:szCs w:val="16"/>
                <w:rtl w:val="0"/>
              </w:rPr>
              <w:t xml:space="preserve">PUBLICATIONS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Cloud Computing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 About Big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Future Trends in BI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bottom w:color="55678a" w:space="3" w:sz="4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6"/>
                <w:szCs w:val="16"/>
                <w:rtl w:val="0"/>
              </w:rPr>
              <w:t xml:space="preserve">AI &amp; THOUGHT LEADERSHIP</w:t>
            </w:r>
            <w:r w:rsidDel="00000000" w:rsidR="00000000" w:rsidRPr="00000000">
              <w:rPr>
                <w:rtl w:val="0"/>
              </w:rPr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128 articles on paddyspeaks.com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Claude Code skill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Vibe coding methodology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AI agent architecture writing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bottom w:color="55678a" w:space="3" w:sz="4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6"/>
                <w:szCs w:val="16"/>
                <w:rtl w:val="0"/>
              </w:rPr>
              <w:t xml:space="preserve">OPEN-SOURCE &amp; COMMUNITY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Interview Studio — free Data &amp; AI Engineering prep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22 data-model deep-dives + 1,500+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18" w:lineRule="auto"/>
              <w:ind w:left="180" w:right="0" w:hanging="1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ce1e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In-browser SQL / Python (WASM), no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bottom w:color="55678a" w:space="3" w:sz="4" w:val="single"/>
              </w:pBdr>
              <w:spacing w:after="80" w:before="2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6"/>
                <w:szCs w:val="16"/>
                <w:rtl w:val="0"/>
              </w:rPr>
              <w:t xml:space="preserve">EARLIER CAREER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" w:before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Engineer Consultant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9956b"/>
                <w:sz w:val="16"/>
                <w:szCs w:val="16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1b8"/>
                <w:sz w:val="15"/>
                <w:szCs w:val="15"/>
                <w:rtl w:val="0"/>
              </w:rPr>
              <w:t xml:space="preserve">Dec 2017 – Apr 2018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line="21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rtl w:val="0"/>
              </w:rPr>
              <w:t xml:space="preserve">GDPR compliance — PII encryption into Dali storage (Hive, Python, Pig)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" w:before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9956b"/>
                <w:sz w:val="16"/>
                <w:szCs w:val="16"/>
                <w:rtl w:val="0"/>
              </w:rPr>
              <w:t xml:space="preserve">GREE International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1b8"/>
                <w:sz w:val="15"/>
                <w:szCs w:val="15"/>
                <w:rtl w:val="0"/>
              </w:rPr>
              <w:t xml:space="preserve">2014 – 2015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line="21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rtl w:val="0"/>
              </w:rPr>
              <w:t xml:space="preserve">PII masking, Vertica→Redshift, 1,000+ table optimization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6" w:before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 Architect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9956b"/>
                <w:sz w:val="16"/>
                <w:szCs w:val="16"/>
                <w:rtl w:val="0"/>
              </w:rPr>
              <w:t xml:space="preserve">Chegg Inc.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1b8"/>
                <w:sz w:val="15"/>
                <w:szCs w:val="15"/>
                <w:rtl w:val="0"/>
              </w:rPr>
              <w:t xml:space="preserve">Oct 2013 – Apr 2014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" w:before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Technical Director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9956b"/>
                <w:sz w:val="16"/>
                <w:szCs w:val="16"/>
                <w:rtl w:val="0"/>
              </w:rPr>
              <w:t xml:space="preserve">Model 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1b8"/>
                <w:sz w:val="15"/>
                <w:szCs w:val="15"/>
                <w:rtl w:val="0"/>
              </w:rPr>
              <w:t xml:space="preserve">2011 – 2013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line="21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rtl w:val="0"/>
              </w:rPr>
              <w:t xml:space="preserve">Life Sciences BI, cloud migration, ETL modularization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6" w:before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9956b"/>
                <w:sz w:val="16"/>
                <w:szCs w:val="16"/>
                <w:rtl w:val="0"/>
              </w:rPr>
              <w:t xml:space="preserve">CallidusCloud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1b8"/>
                <w:sz w:val="15"/>
                <w:szCs w:val="15"/>
                <w:rtl w:val="0"/>
              </w:rPr>
              <w:t xml:space="preserve">2005 – 2011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line="21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rtl w:val="0"/>
              </w:rPr>
              <w:t xml:space="preserve">Incentive comp analytics, BusinessObjects XI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" w:before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DW Architect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c9956b"/>
                <w:sz w:val="16"/>
                <w:szCs w:val="16"/>
                <w:rtl w:val="0"/>
              </w:rPr>
              <w:t xml:space="preserve">Hewlett Packard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4a1b8"/>
                <w:sz w:val="15"/>
                <w:szCs w:val="15"/>
                <w:rtl w:val="0"/>
              </w:rPr>
              <w:t xml:space="preserve">2001 – 2005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line="21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1ea"/>
                <w:sz w:val="15"/>
                <w:szCs w:val="15"/>
                <w:rtl w:val="0"/>
              </w:rPr>
              <w:t xml:space="preserve">Enterprise DW + 8 datamarts; ETL 18→3 hrs; 40–50% sales lift via clickstream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bf4" w:val="clear"/>
            <w:tcMar>
              <w:top w:w="200.0" w:type="dxa"/>
              <w:left w:w="28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3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2b45"/>
                <w:sz w:val="56"/>
                <w:szCs w:val="56"/>
                <w:rtl w:val="0"/>
              </w:rPr>
              <w:t xml:space="preserve">Paddy Iyer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6"/>
                <w:szCs w:val="16"/>
                <w:rtl w:val="0"/>
              </w:rPr>
              <w:t xml:space="preserve">DATA ENGINEERING LEADER · STRATEGIC DATA ARCHITECT · AI &amp; PRIVACY ENGINEERING · AI INNOVATOR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after="60" w:line="250" w:lineRule="auto"/>
              <w:rPr/>
            </w:pPr>
            <w:r>
              <w:rPr>
                <w:rFonts w:ascii="Calibri" w:cs="Calibri" w:eastAsia="Calibri" w:hAnsi="Calibri"/>
                <w:color w:val="27354d"/>
                <w:sz w:val="18"/>
                <w:szCs w:val="18"/>
                <w:rtl w:val="0"/>
              </w:rPr>
              <w:t xml:space="preserve">35+ years building and transforming enterprise data platforms for global tech leaders across cloud/SaaS, fintech, gaming, and consumer platforms. Expert in cloud-native architectures, real-time analytics, privacy-first pipelines, and AI-augmented data operations.</w:t>
            </w:r>
          </w:p>
          <w:p w:rsidR="00000000" w:rsidDel="00000000" w:rsidP="00000000" w:rsidRDefault="00000000" w:rsidRPr="00000000" w14:paraId="0000003D">
            <w:pPr>
              <w:spacing w:after="100" w:before="60" w:line="3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Modern Data Architecture 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Privacy-First Design 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Consent Architecture 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AI Agents &amp; LLM Pipelines 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Prompt Engineering 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Data Governance (C1–C5) 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Petabyte-Scale Systems 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Global Team Leadership 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4a5a75"/>
                <w:sz w:val="17"/>
                <w:szCs w:val="17"/>
                <w:shd w:fill="f3ecdc" w:val="clear"/>
                <w:rtl w:val="0"/>
              </w:rPr>
              <w:t xml:space="preserve"> Data Storytelling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bottom w:color="c29345" w:space="3" w:sz="6" w:val="single"/>
              </w:pBdr>
              <w:spacing w:after="90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29345"/>
                <w:sz w:val="19"/>
                <w:szCs w:val="19"/>
                <w:rtl w:val="0"/>
              </w:rPr>
              <w:t xml:space="preserve">FEATURED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1"/>
              <w:tabs>
                <w:tab w:val="right" w:leader="none" w:pos="8150"/>
              </w:tabs>
              <w:spacing w:after="10" w:before="1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2b45"/>
                <w:sz w:val="23"/>
                <w:szCs w:val="23"/>
                <w:rtl w:val="0"/>
              </w:rPr>
              <w:t xml:space="preserve">Data Engineer — Privacy &amp; Consent Infrastructure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a8273"/>
                <w:sz w:val="18"/>
                <w:szCs w:val="18"/>
                <w:rtl w:val="0"/>
              </w:rPr>
              <w:t xml:space="preserve">Apr 2024 –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1"/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9"/>
                <w:szCs w:val="19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Delivered ~$500K/year in recovered engineering capacity by sustaining the output of 3–4 engineers as a single engineer through AI-assisted development — 1,070 production changes landed at ~1.7/working day over 2.5 years, peaking at 262 in a single month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Eliminated ~52,000 redundant data operations per year, removing an estimated 2–4 FTE of recurring manual toil (~$500K–$1M annually in engineering time, storage, and metadata overhead)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Achieved this leverage at under $1,000 in total LLM spend — roughly 500x return on inference cost — by optimizing on cost per landed change (~$0.80) rather than cost per API call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Cut LLM input tokens ~60% via cacheable prompt prefixes and routed simple transforms to zero-cost local engines, holding per-change cost flat as volume scaled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Cut manual cross-namespace data imports 91% (156.8/day → 14.2/day), driving the final phase of a multi-year warehouse consolidation from 80% to 100% coverage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Unblocked the last ~20% of warehouse data — the segment no prior effort could touch because it sat in the direct ads revenue path, where a single day of degradation carries seven-figure impact — and delivered it with zero revenue loss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Reduced engineer ramp-up from 2 weeks to 2 days and per-asset cycle time 3–5x by building a reusable AI agent playbook, with every hard-block gate derived from a production postmortem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Operated under a constraint where errors surface as revenue loss rather than test failures, which drove the guard-first design: proved the pre-deployment validation stack was structurally blind — permission checks passed for tables that did not exist — and built the system that closed the gap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Collapsed an entire failure class into an offline-checkable invariant: 81% of migrations required a namespace change, not the name change the tooling assumed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Owned incident response on revenue-critical infrastructure — 5 production incidents including 2 high-severity — resolved fix-forward with zero reverts and permission grants coordinated across 6+ teams</w:t>
            </w:r>
          </w:p>
          <w:p w:rsidR="00000000" w:rsidDel="00000000" w:rsidP="00000000" w:rsidRDefault="00000000" w:rsidRPr="00000000" w14:paraId="00000053">
            <w:pPr>
              <w:pBdr>
                <w:bottom w:color="c29345" w:space="3" w:sz="6" w:val="single"/>
              </w:pBdr>
              <w:spacing w:after="90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29345"/>
                <w:sz w:val="19"/>
                <w:szCs w:val="19"/>
                <w:rtl w:val="0"/>
              </w:rPr>
              <w:t xml:space="preserve">EARLIER CAREER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1"/>
              <w:tabs>
                <w:tab w:val="right" w:leader="none" w:pos="8150"/>
              </w:tabs>
              <w:spacing w:after="10" w:before="1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2b45"/>
                <w:sz w:val="23"/>
                <w:szCs w:val="23"/>
                <w:rtl w:val="0"/>
              </w:rPr>
              <w:t xml:space="preserve">Lead Data Architect — Partner Data Engineering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a8273"/>
                <w:sz w:val="18"/>
                <w:szCs w:val="18"/>
                <w:rtl w:val="0"/>
              </w:rPr>
              <w:t xml:space="preserve">Jan 2022 – Jan 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1"/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9"/>
                <w:szCs w:val="19"/>
                <w:rtl w:val="0"/>
              </w:rPr>
              <w:t xml:space="preserve">VMware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60" w:line="235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a8273"/>
                <w:sz w:val="18"/>
                <w:szCs w:val="18"/>
                <w:rtl w:val="0"/>
              </w:rPr>
              <w:t xml:space="preserve">Strategic architect for VMware's Partner Data Platform — unifying fragmented partner data into a single governed analytics layer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Designed and built the Partner Data Platform from the ground up, unifying partner data from 10+ disparate sources into a single governed analytics layer — eliminating silos that had blocked cross-functional decision-making for years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Implemented VMware's first structured data governance for partner data (classification, lineage, policy enforcement) plus a self-service data catalog — cutting tribal-knowledge reliance by 60% and ad-hoc request volume by ~40%, and achieving audit-ready status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Pioneered an AI copilot for retrieval optimization, coding, and governance — one of VMware's earliest LLM-assisted data engineering deployments, reducing routine query development time by ~30%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Achieved 40%+ Spark processing improvements via broadcast joins, caching, and skew management — bringing SLA-critical reports inside their delivery windows for the first time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Engaged director/VP-level stakeholders to define a unified data vision, securing budget and headcount that grew the team from 3 to 8 engineers during the engagement</w:t>
            </w:r>
          </w:p>
          <w:p w:rsidR="00000000" w:rsidDel="00000000" w:rsidP="00000000" w:rsidRDefault="00000000" w:rsidRPr="00000000" w14:paraId="0000005C">
            <w:pPr>
              <w:keepNext w:val="1"/>
              <w:tabs>
                <w:tab w:val="right" w:leader="none" w:pos="8150"/>
              </w:tabs>
              <w:spacing w:after="10" w:before="1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c2b45"/>
                <w:sz w:val="23"/>
                <w:szCs w:val="23"/>
                <w:rtl w:val="0"/>
              </w:rPr>
              <w:t xml:space="preserve">Data Engineer (Consultant)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a8273"/>
                <w:sz w:val="18"/>
                <w:szCs w:val="18"/>
                <w:rtl w:val="0"/>
              </w:rPr>
              <w:t xml:space="preserve">Oct 2015 – Dec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1"/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9956b"/>
                <w:sz w:val="19"/>
                <w:szCs w:val="19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after="60" w:line="235" w:lineRule="auto"/>
              <w:rPr/>
            </w:pPr>
            <w:r>
              <w:rPr>
                <w:rFonts w:ascii="Calibri" w:cs="Calibri" w:eastAsia="Calibri" w:hAnsi="Calibri"/>
                <w:i w:val="1"/>
                <w:iCs w:val="1"/>
                <w:color w:val="8a8273"/>
                <w:sz w:val="18"/>
                <w:szCs w:val="18"/>
                <w:rtl w:val="0"/>
              </w:rPr>
              <w:t xml:space="preserve">Performance, query-engine migration and reliability across Meta's ads, integrity, commerce and marketing data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Migrated 89 production pipelines from Hive to Spark and Presto over 11 months (~8/month sustained) — datelist, cube and funnel workloads across ads, integrity, commerce and marketing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Benchmarked rather than assumed: on one workload Spark failed 40 times and ran 50+ minutes while Presto finished in under 30 — shipped Presto with documented evidence, avoiding a slower, failure-prone pipeline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Cut a critical ads pipeline from 5 hours to under 1 hour by decomposing serial split tasks into 30 parallel threads, recovering ~4 hours of daily batch window on a revenue-reporting dependency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Led privacy remediation across 1,200+ SMB 2.0, Customer Journey and BPO tables, and drove Salesforce ID deprecation across 1,000+ pipelines — eliminating an external vendor dependency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Carried pipeline oncall across ~200 incidents with root-cause fixes rather than restarts; delivered ~50 privacy and compliance remediations and cut storage cost across ~60 retention engagements</w:t>
            </w:r>
          </w:p>
          <w:p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6" w:before="0" w:line="240" w:lineRule="auto"/>
              <w:ind w:left="230" w:right="0" w:hanging="200"/>
              <w:jc w:val="left"/>
              <w:rPr/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735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Recognized by 45 colleagues across 53 peer commendations for debugging, escalation and cross-team unblocking across ads, payments, commerce, marketplace and privacy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7354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80" w:hanging="160"/>
      </w:pPr>
      <w:rPr>
        <w:color w:val="c9956b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▪"/>
      <w:lvlJc w:val="left"/>
      <w:pPr>
        <w:ind w:left="230" w:hanging="200"/>
      </w:pPr>
      <w:rPr>
        <w:color w:val="c9956b"/>
        <w:sz w:val="14"/>
        <w:szCs w:val="14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7354d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7354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