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15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00"/>
        <w:gridCol w:w="8420"/>
        <w:tblGridChange w:id="0">
          <w:tblGrid>
            <w:gridCol w:w="3100"/>
            <w:gridCol w:w="84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c2b45" w:val="clear"/>
            <w:tcMar>
              <w:top w:w="200.0" w:type="dxa"/>
              <w:left w:w="220.0" w:type="dxa"/>
              <w:bottom w:w="240.0" w:type="dxa"/>
              <w:right w:w="2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pBdr>
                <w:bottom w:color="55678a" w:space="3" w:sz="4" w:val="single"/>
              </w:pBdr>
              <w:spacing w:after="80" w:before="20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9956b"/>
                <w:sz w:val="16"/>
                <w:szCs w:val="16"/>
                <w:rtl w:val="0"/>
              </w:rPr>
              <w:t xml:space="preserve">CONTACT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spacing w:after="40" w:lin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9956b"/>
                <w:sz w:val="16"/>
                <w:szCs w:val="16"/>
                <w:rtl w:val="0"/>
              </w:rPr>
              <w:t xml:space="preserve">paddy.iyer@gmail.com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spacing w:after="40" w:lin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dce1ea"/>
                <w:sz w:val="16"/>
                <w:szCs w:val="16"/>
                <w:rtl w:val="0"/>
              </w:rPr>
              <w:t xml:space="preserve">linkedin.com/in/paddyiyer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spacing w:after="40" w:lin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dce1ea"/>
                <w:sz w:val="16"/>
                <w:szCs w:val="16"/>
                <w:rtl w:val="0"/>
              </w:rPr>
              <w:t xml:space="preserve">paddyspeaks.com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spacing w:after="40" w:lin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dce1ea"/>
                <w:sz w:val="16"/>
                <w:szCs w:val="16"/>
                <w:rtl w:val="0"/>
              </w:rPr>
              <w:t xml:space="preserve">github.com/paddyriyer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spacing w:after="80" w:lin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dce1ea"/>
                <w:sz w:val="16"/>
                <w:szCs w:val="16"/>
                <w:rtl w:val="0"/>
              </w:rPr>
              <w:t xml:space="preserve">San Francisco Bay Area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8">
            <w:pPr>
              <w:pBdr>
                <w:bottom w:color="55678a" w:space="3" w:sz="4" w:val="single"/>
              </w:pBdr>
              <w:spacing w:after="80" w:before="20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9956b"/>
                <w:sz w:val="16"/>
                <w:szCs w:val="16"/>
                <w:rtl w:val="0"/>
              </w:rPr>
              <w:t xml:space="preserve">TECHNICAL SKILLS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spacing w:after="60" w:line="30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Spark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Hive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Hadoop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Databricks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Delta Lake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Snowflake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Redshift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dbt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Airflow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Dataswarm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AWS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Azure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GCP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Terraform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Kubernetes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Python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SQL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Scala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LLM/RAG Pipelines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Claude Code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AI Agents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Prompt Eng.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LangChain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GitHub Copilot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MLflow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Diff. Privacy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Unity Catalog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Data Mesh 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pBdr>
                <w:bottom w:color="55678a" w:space="3" w:sz="4" w:val="single"/>
              </w:pBdr>
              <w:spacing w:after="80" w:before="20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9956b"/>
                <w:sz w:val="16"/>
                <w:szCs w:val="16"/>
                <w:rtl w:val="0"/>
              </w:rPr>
              <w:t xml:space="preserve">EDUCATION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spacing w:after="40" w:lin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Data Engineering Cert.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spacing w:after="70" w:lin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94a1b8"/>
                <w:sz w:val="16"/>
                <w:szCs w:val="16"/>
                <w:rtl w:val="0"/>
              </w:rPr>
              <w:t xml:space="preserve">UC Santa Cruz, 2013–14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spacing w:after="40" w:lin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B.S. Electrical Engineering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E">
            <w:pPr>
              <w:spacing w:after="70" w:lin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94a1b8"/>
                <w:sz w:val="16"/>
                <w:szCs w:val="16"/>
                <w:rtl w:val="0"/>
              </w:rPr>
              <w:t xml:space="preserve">Sardar Patel College of Eng.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spacing w:after="40" w:lin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Diploma, Electronics &amp; Comms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spacing w:after="80" w:lin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94a1b8"/>
                <w:sz w:val="16"/>
                <w:szCs w:val="16"/>
                <w:rtl w:val="0"/>
              </w:rPr>
              <w:t xml:space="preserve">Technical Board, Tamil Nadu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pBdr>
                <w:bottom w:color="55678a" w:space="3" w:sz="4" w:val="single"/>
              </w:pBdr>
              <w:spacing w:after="80" w:before="20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9956b"/>
                <w:sz w:val="16"/>
                <w:szCs w:val="16"/>
                <w:rtl w:val="0"/>
              </w:rPr>
              <w:t xml:space="preserve">PUBLICATIONS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0" w:line="218" w:lineRule="auto"/>
              <w:ind w:left="180" w:right="0" w:hanging="1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ce1e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Cloud Computing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0" w:line="218" w:lineRule="auto"/>
              <w:ind w:left="180" w:right="0" w:hanging="1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ce1e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All About Big Data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0" w:line="218" w:lineRule="auto"/>
              <w:ind w:left="180" w:right="0" w:hanging="1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ce1e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Future Trends in BI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pBdr>
                <w:bottom w:color="55678a" w:space="3" w:sz="4" w:val="single"/>
              </w:pBdr>
              <w:spacing w:after="80" w:before="20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9956b"/>
                <w:sz w:val="16"/>
                <w:szCs w:val="16"/>
                <w:rtl w:val="0"/>
              </w:rPr>
              <w:t xml:space="preserve">AI &amp; THOUGHT LEADERSHIP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0" w:line="218" w:lineRule="auto"/>
              <w:ind w:left="180" w:right="0" w:hanging="1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ce1e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160+ articles on paddyspeaks.com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0" w:line="218" w:lineRule="auto"/>
              <w:ind w:left="180" w:right="0" w:hanging="1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ce1e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Claude Code skill development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0" w:line="218" w:lineRule="auto"/>
              <w:ind w:left="180" w:right="0" w:hanging="1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ce1e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Vibe coding methodology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0" w:line="218" w:lineRule="auto"/>
              <w:ind w:left="180" w:right="0" w:hanging="1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ce1e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AI agent architecture writing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pBdr>
                <w:bottom w:color="55678a" w:space="3" w:sz="4" w:val="single"/>
              </w:pBdr>
              <w:spacing w:after="80" w:before="20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9956b"/>
                <w:sz w:val="16"/>
                <w:szCs w:val="16"/>
                <w:rtl w:val="0"/>
              </w:rPr>
              <w:t xml:space="preserve">OPEN-SOURCE &amp; COMMUNITY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0" w:line="218" w:lineRule="auto"/>
              <w:ind w:left="180" w:right="0" w:hanging="1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ce1e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Interview Studio — free Data &amp; AI Engineering prep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0" w:line="218" w:lineRule="auto"/>
              <w:ind w:left="180" w:right="0" w:hanging="1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ce1e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22 data-model deep-dives + 1,500+ questions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0" w:line="218" w:lineRule="auto"/>
              <w:ind w:left="180" w:right="0" w:hanging="1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ce1e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In-browser SQL / Python (WASM), no backend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pBdr>
                <w:bottom w:color="55678a" w:space="3" w:sz="4" w:val="single"/>
              </w:pBdr>
              <w:spacing w:after="80" w:before="20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9956b"/>
                <w:sz w:val="16"/>
                <w:szCs w:val="16"/>
                <w:rtl w:val="0"/>
              </w:rPr>
              <w:t xml:space="preserve">EARLIER CAREER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spacing w:after="6" w:before="9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Data Engineer Consultant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spacing w:after="6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c9956b"/>
                <w:sz w:val="16"/>
                <w:szCs w:val="16"/>
                <w:rtl w:val="0"/>
              </w:rPr>
              <w:t xml:space="preserve">LinkedIn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spacing w:after="6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94a1b8"/>
                <w:sz w:val="15"/>
                <w:szCs w:val="15"/>
                <w:rtl w:val="0"/>
              </w:rPr>
              <w:t xml:space="preserve">Dec 2017 – Apr 2018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spacing w:after="40" w:line="21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rtl w:val="0"/>
              </w:rPr>
              <w:t xml:space="preserve">GDPR compliance — PII encryption into Dali storage (Hive, Python, Pig)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spacing w:after="6" w:before="9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Lead Data Engineer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spacing w:after="6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c9956b"/>
                <w:sz w:val="16"/>
                <w:szCs w:val="16"/>
                <w:rtl w:val="0"/>
              </w:rPr>
              <w:t xml:space="preserve">Meta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spacing w:after="6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94a1b8"/>
                <w:sz w:val="15"/>
                <w:szCs w:val="15"/>
                <w:rtl w:val="0"/>
              </w:rPr>
              <w:t xml:space="preserve">Sep 2015 – Sep 2017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spacing w:after="40" w:line="21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rtl w:val="0"/>
              </w:rPr>
              <w:t xml:space="preserve">80+ Dataswarm pipelines for petabyte-scale ads; Cross Device Insights, Outcomes Datamart + Norms DB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spacing w:after="6" w:before="9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Data Engineer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spacing w:after="6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c9956b"/>
                <w:sz w:val="16"/>
                <w:szCs w:val="16"/>
                <w:rtl w:val="0"/>
              </w:rPr>
              <w:t xml:space="preserve">GREE International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spacing w:after="6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94a1b8"/>
                <w:sz w:val="15"/>
                <w:szCs w:val="15"/>
                <w:rtl w:val="0"/>
              </w:rPr>
              <w:t xml:space="preserve">2014 – 2015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40" w:line="21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rtl w:val="0"/>
              </w:rPr>
              <w:t xml:space="preserve">PII masking, Vertica→Redshift, 1,000+ table optimization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spacing w:after="6" w:before="9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Data Architect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spacing w:after="6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c9956b"/>
                <w:sz w:val="16"/>
                <w:szCs w:val="16"/>
                <w:rtl w:val="0"/>
              </w:rPr>
              <w:t xml:space="preserve">Chegg Inc.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spacing w:after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94a1b8"/>
                <w:sz w:val="15"/>
                <w:szCs w:val="15"/>
                <w:rtl w:val="0"/>
              </w:rPr>
              <w:t xml:space="preserve">Oct 2013 – Apr 2014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spacing w:after="6" w:before="9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Technical Director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spacing w:after="6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c9956b"/>
                <w:sz w:val="16"/>
                <w:szCs w:val="16"/>
                <w:rtl w:val="0"/>
              </w:rPr>
              <w:t xml:space="preserve">Model 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spacing w:after="6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94a1b8"/>
                <w:sz w:val="15"/>
                <w:szCs w:val="15"/>
                <w:rtl w:val="0"/>
              </w:rPr>
              <w:t xml:space="preserve">2011 – 2013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spacing w:after="40" w:line="21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rtl w:val="0"/>
              </w:rPr>
              <w:t xml:space="preserve">Life Sciences BI, cloud migration, ETL modularization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spacing w:after="6" w:before="9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Architect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spacing w:after="6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c9956b"/>
                <w:sz w:val="16"/>
                <w:szCs w:val="16"/>
                <w:rtl w:val="0"/>
              </w:rPr>
              <w:t xml:space="preserve">CallidusCloud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spacing w:after="6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94a1b8"/>
                <w:sz w:val="15"/>
                <w:szCs w:val="15"/>
                <w:rtl w:val="0"/>
              </w:rPr>
              <w:t xml:space="preserve">2005 – 2011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spacing w:after="40" w:line="21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rtl w:val="0"/>
              </w:rPr>
              <w:t xml:space="preserve">Incentive comp analytics, BusinessObjects XI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spacing w:after="6" w:before="9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DW Architect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spacing w:after="6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c9956b"/>
                <w:sz w:val="16"/>
                <w:szCs w:val="16"/>
                <w:rtl w:val="0"/>
              </w:rPr>
              <w:t xml:space="preserve">Hewlett Packard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spacing w:after="6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94a1b8"/>
                <w:sz w:val="15"/>
                <w:szCs w:val="15"/>
                <w:rtl w:val="0"/>
              </w:rPr>
              <w:t xml:space="preserve">2001 – 2005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spacing w:after="40" w:line="21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rtl w:val="0"/>
              </w:rPr>
              <w:t xml:space="preserve">Enterprise DW + 8 datamarts; ETL 18→3 hrs; 40–50% sales lift via clickstream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dfbf4" w:val="clear"/>
            <w:tcMar>
              <w:top w:w="200.0" w:type="dxa"/>
              <w:left w:w="280.0" w:type="dxa"/>
              <w:bottom w:w="200.0" w:type="dxa"/>
              <w:right w:w="16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after="30" w:lineRule="auto"/>
              <w:rPr/>
            </w:pPr>
            <w:r w:rsidDel="00000000" w:rsidR="00000000" w:rsidRPr="00000000">
              <w:rPr>
                <w:rFonts w:ascii="Georgia" w:cs="Georgia" w:eastAsia="Georgia" w:hAnsi="Georgia"/>
                <w:b w:val="1"/>
                <w:bCs w:val="1"/>
                <w:color w:val="1c2b45"/>
                <w:sz w:val="56"/>
                <w:szCs w:val="56"/>
                <w:rtl w:val="0"/>
              </w:rPr>
              <w:t xml:space="preserve">Paddy Iyer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spacing w:after="9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9956b"/>
                <w:sz w:val="16"/>
                <w:szCs w:val="16"/>
                <w:rtl w:val="0"/>
              </w:rPr>
              <w:t xml:space="preserve">DATA ENGINEERING LEADER · STRATEGIC DATA ARCHITECT · AI &amp; PRIVACY ENGINEERING · AI INNOVATOR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spacing w:after="6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7354d"/>
                <w:sz w:val="18"/>
                <w:szCs w:val="18"/>
                <w:rtl w:val="0"/>
              </w:rPr>
              <w:t xml:space="preserve">15+ years driving enterprise data transformation for global tech leaders across cloud/SaaS, fintech, gaming, and consumer platforms. Expert in cloud-native architectures, real-time analytics, privacy-first pipelines, and AI-augmented data operations. Proven builder of high-trust, high-performance data teams at petabyte scale. Published writer and thought leader on data architecture, AI agents, and the intersection of ancient wisdom with modern technology.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spacing w:after="100" w:before="60" w:line="3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4a5a75"/>
                <w:sz w:val="17"/>
                <w:szCs w:val="17"/>
                <w:shd w:fill="f3ecdc" w:val="clear"/>
                <w:rtl w:val="0"/>
              </w:rPr>
              <w:t xml:space="preserve"> Modern Data Architecture </w:t>
            </w: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4a5a75"/>
                <w:sz w:val="17"/>
                <w:szCs w:val="17"/>
                <w:shd w:fill="f3ecdc" w:val="clear"/>
                <w:rtl w:val="0"/>
              </w:rPr>
              <w:t xml:space="preserve"> Privacy-First Design </w:t>
            </w: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4a5a75"/>
                <w:sz w:val="17"/>
                <w:szCs w:val="17"/>
                <w:shd w:fill="f3ecdc" w:val="clear"/>
                <w:rtl w:val="0"/>
              </w:rPr>
              <w:t xml:space="preserve"> Consent Architecture </w:t>
            </w: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4a5a75"/>
                <w:sz w:val="17"/>
                <w:szCs w:val="17"/>
                <w:shd w:fill="f3ecdc" w:val="clear"/>
                <w:rtl w:val="0"/>
              </w:rPr>
              <w:t xml:space="preserve"> AI Agents &amp; LLM Pipelines </w:t>
            </w: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4a5a75"/>
                <w:sz w:val="17"/>
                <w:szCs w:val="17"/>
                <w:shd w:fill="f3ecdc" w:val="clear"/>
                <w:rtl w:val="0"/>
              </w:rPr>
              <w:t xml:space="preserve"> Prompt Engineering </w:t>
            </w: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4a5a75"/>
                <w:sz w:val="17"/>
                <w:szCs w:val="17"/>
                <w:shd w:fill="f3ecdc" w:val="clear"/>
                <w:rtl w:val="0"/>
              </w:rPr>
              <w:t xml:space="preserve"> Data Governance (C1–C5) </w:t>
            </w: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4a5a75"/>
                <w:sz w:val="17"/>
                <w:szCs w:val="17"/>
                <w:shd w:fill="f3ecdc" w:val="clear"/>
                <w:rtl w:val="0"/>
              </w:rPr>
              <w:t xml:space="preserve"> Petabyte-Scale Systems </w:t>
            </w: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4a5a75"/>
                <w:sz w:val="17"/>
                <w:szCs w:val="17"/>
                <w:shd w:fill="f3ecdc" w:val="clear"/>
                <w:rtl w:val="0"/>
              </w:rPr>
              <w:t xml:space="preserve"> Global Team Leadership </w:t>
            </w: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4a5a75"/>
                <w:sz w:val="17"/>
                <w:szCs w:val="17"/>
                <w:shd w:fill="f3ecdc" w:val="clear"/>
                <w:rtl w:val="0"/>
              </w:rPr>
              <w:t xml:space="preserve"> Data Storytelling 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pBdr>
                <w:bottom w:color="c29345" w:space="3" w:sz="6" w:val="single"/>
              </w:pBdr>
              <w:spacing w:after="90" w:befor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29345"/>
                <w:sz w:val="19"/>
                <w:szCs w:val="19"/>
                <w:rtl w:val="0"/>
              </w:rPr>
              <w:t xml:space="preserve">FEATURED EXPERIENCE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F">
            <w:pPr>
              <w:keepNext w:val="1"/>
              <w:tabs>
                <w:tab w:val="right" w:leader="none" w:pos="8150"/>
              </w:tabs>
              <w:spacing w:after="10" w:before="1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c2b45"/>
                <w:sz w:val="23"/>
                <w:szCs w:val="23"/>
                <w:rtl w:val="0"/>
              </w:rPr>
              <w:t xml:space="preserve">Senior Consultant — Privacy &amp; Consent Infrastructure</w:t>
            </w: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8a8273"/>
                <w:sz w:val="18"/>
                <w:szCs w:val="18"/>
                <w:rtl w:val="0"/>
              </w:rPr>
              <w:t xml:space="preserve">Apr 2024 – Present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keepNext w:val="1"/>
              <w:spacing w:after="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9956b"/>
                <w:sz w:val="19"/>
                <w:szCs w:val="19"/>
                <w:rtl w:val="0"/>
              </w:rPr>
              <w:t xml:space="preserve">Meta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spacing w:after="60" w:line="235" w:lineRule="auto"/>
              <w:rPr/>
            </w:pPr>
            <w:r>
              <w:rPr>
                <w:rFonts w:ascii="Calibri" w:cs="Calibri" w:eastAsia="Calibri" w:hAnsi="Calibri"/>
                <w:i w:val="1"/>
                <w:iCs w:val="1"/>
                <w:color w:val="8a8273"/>
                <w:sz w:val="18"/>
                <w:szCs w:val="18"/>
                <w:rtl w:val="0"/>
              </w:rPr>
              <w:t xml:space="preserve">Led the data engineering execution of Meta's Safe Ads Program — a company-critical initiative transitioning advertising infrastructure from broad data access to consent-first architecture across four privacy domains (AAP, Consent Revocation, BYOU, ICOU). Landed 800+ diffs, remediated 700+ data assets, and discovered systemic platform-level validation gaps that prevented silent production failures at scale</w:t>
            </w:r>
          </w:p>
          <w:p w:rsidR="00000000" w:rsidDel="00000000" w:rsidP="00000000" w:rsidRDefault="00000000" w:rsidRPr="00000000" w14:paraId="00000042">
            <w:pPr>
              <w:keepNext w:val="1"/>
              <w:shd w:fill="f5efe3" w:val="clear"/>
              <w:spacing w:after="60" w:before="90" w:lineRule="auto"/>
              <w:rPr/>
            </w:pPr>
            <w:r>
              <w:rPr>
                <w:rFonts w:ascii="Calibri" w:cs="Calibri" w:eastAsia="Calibri" w:hAnsi="Calibri"/>
                <w:b w:val="1"/>
                <w:bCs w:val="1"/>
                <w:color w:val="33445f"/>
                <w:sz w:val="19"/>
                <w:szCs w:val="19"/>
                <w:rtl w:val="0"/>
              </w:rPr>
              <w:t xml:space="preserve"> Cross-Namespace Privacy Enforcement Discovery &amp; Incident Response</w:t>
            </w:r>
          </w:p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Discovered that the entire pre-deployment validation stack — access checks, schema validation, CI/CD gates — was blind to three distinct runtime privacy enforcement layers when pipelines transitioned from indirect (auto-projected) table references to direct cross-namespace reads during the consent migration</w:t>
            </w:r>
          </w:p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Identified and documented 8 distinct failure classes spanning advertising data boundary restrictions, column-level user data policy blocks, export control violations, policy-zone access denials, signal-table misrouting, cross-namespace query engine incompatibilities, multi-consumer ACL gaps, and namespace reference errors</w:t>
            </w:r>
          </w:p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Designed and deployed an automated boundary-guard system that probed all 191 in-flight migration diffs, flagged 54 at-risk cross-boundary swaps with hard-gate “do not land” conditions, and prevented further production incidents</w:t>
            </w:r>
          </w:p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Implemented a runtime-simulation linter sweep as an authoritative pre-land gate — caught a real block that the existing metadata-based probe had falsely marked as passing</w:t>
            </w:r>
          </w:p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Managed incident response for 5 production failures including 2 SEV3s (one with $5.27M/day revenue impact); executed fix-forward strategy with zero reverts by coordinating cross-team permission grants across 6+ consuming teams</w:t>
            </w:r>
          </w:p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Handled director-level escalations with clear RCA documentation, established new operational protocols, and prevented recurrence across the remaining migration set</w:t>
            </w:r>
          </w:p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Documented 6 CI false-positive patterns and 7 tooling issues that were causing wasted investigation time, false alarm pings to partner teams, and invisible landing blocks — turning tribal knowledge into repeatable triage procedures</w:t>
            </w:r>
          </w:p>
          <w:p w:rsidR="00000000" w:rsidDel="00000000" w:rsidP="00000000" w:rsidRDefault="00000000" w:rsidRPr="00000000" w14:paraId="00000042">
            <w:pPr>
              <w:keepNext w:val="1"/>
              <w:shd w:fill="f5efe3" w:val="clear"/>
              <w:spacing w:after="60" w:before="90" w:lineRule="auto"/>
              <w:rPr/>
            </w:pPr>
            <w:r>
              <w:rPr>
                <w:rFonts w:ascii="Calibri" w:cs="Calibri" w:eastAsia="Calibri" w:hAnsi="Calibri"/>
                <w:b w:val="1"/>
                <w:bCs w:val="1"/>
                <w:color w:val="33445f"/>
                <w:sz w:val="19"/>
                <w:szCs w:val="19"/>
                <w:rtl w:val="0"/>
              </w:rPr>
              <w:t xml:space="preserve"> AI-Augmented Remediation at Scale</w:t>
            </w:r>
          </w:p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Co-designed with SWEs a custom AI coding skill (structured playbook) encoding the complete remediation methodology for all four privacy domains — enabling any engineer to execute complex multi-step pipeline migrations with AI assistance from day 2 (vs. ~2 weeks prior ramp-up)</w:t>
            </w:r>
          </w:p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Skill covers end-to-end: table transform generation, consent filter pipeline creation, signal table dependency wiring, multi-producer alignment, lint/test automation, cross-team dependency resolution, and boundary-guard integration</w:t>
            </w:r>
          </w:p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Cut per-asset remediation time by 3–5× and enabled a single engineer to sustain 800+ landed diffs — a throughput level typically requiring 3–4 engineers without AI augmentation</w:t>
            </w:r>
          </w:p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Managed a 276-diff BYOU migration batch with 231 successful landings (84% first-pass success rate), triaging the remaining through permission grants, code fixes, and export control resolutions</w:t>
            </w:r>
          </w:p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Collaborated with software engineers to continuously improve the AI implementation: expanded coverage from AAP-only to CR, BYOU, and ICOU domains; added cross-namespace boundary detection; eliminated fragile metadata tracking patterns</w:t>
            </w:r>
          </w:p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Applied prompt engineering and LLM-assisted code analysis to reduce documentation overhead by ~70%, freeing engineering time for higher-judgment work (policy-gap analysis, cross-team grant negotiations)</w:t>
            </w:r>
          </w:p>
          <w:p w:rsidR="00000000" w:rsidDel="00000000" w:rsidP="00000000" w:rsidRDefault="00000000" w:rsidRPr="00000000" w14:paraId="00000042">
            <w:pPr>
              <w:keepNext w:val="1"/>
              <w:shd w:fill="f5efe3" w:val="clear"/>
              <w:spacing w:after="60" w:before="90" w:lineRule="auto"/>
              <w:rPr/>
            </w:pPr>
            <w:r>
              <w:rPr>
                <w:rFonts w:ascii="Calibri" w:cs="Calibri" w:eastAsia="Calibri" w:hAnsi="Calibri"/>
                <w:b w:val="1"/>
                <w:bCs w:val="1"/>
                <w:color w:val="33445f"/>
                <w:sz w:val="19"/>
                <w:szCs w:val="19"/>
                <w:rtl w:val="0"/>
              </w:rPr>
              <w:t xml:space="preserve"> Privacy Remediation Pipeline Architecture</w:t>
            </w:r>
          </w:p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Architected an 8-stage remediation pipeline (classification → lineage → topology sort → pipeline dev → diff → deploy → compliance → downstream migration) serving as the execution framework for 700+ data asset remediations across AAP, CR, BYOU, and ICOU</w:t>
            </w:r>
          </w:p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Achieved 100% remediation of all high-risk assets across AAP and Consent Revocation on schedule — directly unblocking Meta's Safe Ads regulatory launch</w:t>
            </w:r>
          </w:p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Built consent filtering pipelines enforcing user-level opt-out at the data layer, signal table architectures for auditable dependency management, and differential privacy operators preserving analytical utility under consent constraints</w:t>
            </w:r>
          </w:p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Navigated a 639-diff commandeered stack with deduplication challenges, namespace pollution, and non-deterministic version control states — establishing processes for safe editing of large-scale migration batches</w:t>
            </w:r>
          </w:p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Closed compliance gaps across cross-functional pipelines involving 3+ producer teams — required resolving ambiguous ownership, negotiating permission grants that only consuming teams could submit, and coordinating export control reclassifications</w:t>
            </w:r>
          </w:p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Reduced average asset remediation cycle time from weeks to days; cut time-to-first-deploy for new pipelines by ~50% through documented, repeatable validation workflows</w:t>
            </w:r>
          </w:p>
          <w:p w:rsidR="00000000" w:rsidDel="00000000" w:rsidP="00000000" w:rsidRDefault="00000000" w:rsidRPr="00000000" w14:paraId="00000053">
            <w:pPr>
              <w:pBdr>
                <w:bottom w:color="c29345" w:space="3" w:sz="6" w:val="single"/>
              </w:pBdr>
              <w:spacing w:after="90" w:befor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29345"/>
                <w:sz w:val="19"/>
                <w:szCs w:val="19"/>
                <w:rtl w:val="0"/>
              </w:rPr>
              <w:t xml:space="preserve">EARLIER CAREER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keepNext w:val="1"/>
              <w:tabs>
                <w:tab w:val="right" w:leader="none" w:pos="8150"/>
              </w:tabs>
              <w:spacing w:after="10" w:before="1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c2b45"/>
                <w:sz w:val="23"/>
                <w:szCs w:val="23"/>
                <w:rtl w:val="0"/>
              </w:rPr>
              <w:t xml:space="preserve">Lead Data Architect — Partner Data Engineering</w:t>
            </w: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8a8273"/>
                <w:sz w:val="18"/>
                <w:szCs w:val="18"/>
                <w:rtl w:val="0"/>
              </w:rPr>
              <w:t xml:space="preserve">Jan 2022 – Jan 2024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5">
            <w:pPr>
              <w:keepNext w:val="1"/>
              <w:spacing w:after="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9956b"/>
                <w:sz w:val="19"/>
                <w:szCs w:val="19"/>
                <w:rtl w:val="0"/>
              </w:rPr>
              <w:t xml:space="preserve">VMware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spacing w:after="60" w:line="23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8a8273"/>
                <w:sz w:val="18"/>
                <w:szCs w:val="18"/>
                <w:rtl w:val="0"/>
              </w:rPr>
              <w:t xml:space="preserve">Strategic architect for VMware's Partner Data Platform — unifying fragmented partner data into a single governed analytics layer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Designed and built the Partner Data Platform from the ground up, unifying partner data from 10+ disparate sources into a single governed analytics layer — eliminating silos that had blocked cross-functional decision-making for years</w:t>
            </w:r>
          </w:p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Implemented VMware's first structured data governance for partner data (classification, lineage, policy enforcement) plus a self-service data catalog — cutting tribal-knowledge reliance by 60% and ad-hoc request volume by ~40%, and achieving audit-ready status</w:t>
            </w:r>
          </w:p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Pioneered an AI copilot for retrieval optimization, coding, and governance — one of VMware's earliest LLM-assisted data engineering deployments, reducing routine query development time by ~30%</w:t>
            </w:r>
          </w:p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Achieved 40%+ Spark processing improvements via broadcast joins, caching, and skew management — bringing SLA-critical reports inside their delivery windows for the first time</w:t>
            </w:r>
          </w:p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Engaged director/VP-level stakeholders to define a unified data vision, securing budget and headcount that grew the team from 3 to 8 engineers during the engagement</w:t>
            </w:r>
          </w:p>
          <w:p w:rsidR="00000000" w:rsidDel="00000000" w:rsidP="00000000" w:rsidRDefault="00000000" w:rsidRPr="00000000" w14:paraId="0000005C">
            <w:pPr>
              <w:keepNext w:val="1"/>
              <w:tabs>
                <w:tab w:val="right" w:leader="none" w:pos="8150"/>
              </w:tabs>
              <w:spacing w:after="10" w:before="1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c2b45"/>
                <w:sz w:val="23"/>
                <w:szCs w:val="23"/>
                <w:rtl w:val="0"/>
              </w:rPr>
              <w:t xml:space="preserve">Senior Consultant — Ads, Commerce &amp; Privacy</w:t>
            </w: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8a8273"/>
                <w:sz w:val="18"/>
                <w:szCs w:val="18"/>
                <w:rtl w:val="0"/>
              </w:rPr>
              <w:t xml:space="preserve">Jul 2019 – Dec 2021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keepNext w:val="1"/>
              <w:spacing w:after="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9956b"/>
                <w:sz w:val="19"/>
                <w:szCs w:val="19"/>
                <w:rtl w:val="0"/>
              </w:rPr>
              <w:t xml:space="preserve">Meta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spacing w:after="60" w:line="23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8a8273"/>
                <w:sz w:val="18"/>
                <w:szCs w:val="18"/>
                <w:rtl w:val="0"/>
              </w:rPr>
              <w:t xml:space="preserve">Led high-impact projects across Meta's Ads, Commerce, and Privacy teams, architecting secure, scalable, and compliant data platforms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Led privacy remediation across 1,200+ SMB 2.0, Customer Journey, and BPO tables — resolving critical compliance-risk design flaws and establishing remediation patterns later adopted at scale in the Safe Ads program</w:t>
            </w:r>
          </w:p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Spearheaded migration of 1,000+ Hive pipelines to Spark, automating ~70% of conversion tasks — compressing a projected 12-month migration to under 6 months</w:t>
            </w:r>
          </w:p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Owned the SMB funnel redesign, improving query performance 3x and scaling the pipeline from thousands to tens of thousands of small-business advertisers without infrastructure changes</w:t>
            </w:r>
          </w:p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Enhanced Hive anonymization processes with privacy engineers, enabling ads and commerce data products to pass privacy audits without manual intervention — cutting audit preparation effort by ~60%</w:t>
            </w:r>
          </w:p>
        </w:tc>
      </w:tr>
    </w:tbl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7354d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360" w:top="360" w:left="360" w:right="36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180" w:hanging="160"/>
      </w:pPr>
      <w:rPr>
        <w:color w:val="c9956b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bullet"/>
      <w:lvlText w:val="▪"/>
      <w:lvlJc w:val="left"/>
      <w:pPr>
        <w:ind w:left="230" w:hanging="200"/>
      </w:pPr>
      <w:rPr>
        <w:color w:val="c9956b"/>
        <w:sz w:val="14"/>
        <w:szCs w:val="14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color w:val="27354d"/>
        <w:sz w:val="18"/>
        <w:szCs w:val="18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18"/>
      <w:szCs w:val="18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18"/>
      <w:szCs w:val="18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18"/>
      <w:szCs w:val="18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7354d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