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mbria" w:cs="Cambria" w:eastAsia="Cambria" w:hAnsi="Cambria"/>
          <w:color w:val="1B2A4A"/>
          <w:sz w:val="64"/>
          <w:szCs w:val="64"/>
        </w:rPr>
        <w:t xml:space="preserve">VIXIV Design Standard</w:t>
      </w:r>
    </w:p>
    <w:p>
      <w:pPr>
        <w:pBdr>
          <w:bottom w:val="single" w:color="C1533C" w:sz="24" w:space="8"/>
        </w:pBdr>
        <w:spacing w:after="120"/>
      </w:pPr>
      <w:r>
        <w:rPr>
          <w:rFonts w:ascii="Calibri" w:cs="Calibri" w:eastAsia="Calibri" w:hAnsi="Calibri"/>
          <w:color w:val="4A5670"/>
          <w:sz w:val="28"/>
          <w:szCs w:val="28"/>
        </w:rPr>
        <w:t xml:space="preserve">UX/UI design system for all VIXIV LTD digital assets</w:t>
      </w:r>
    </w:p>
    <w:p>
      <w:pPr>
        <w:spacing w:after="120" w:line="276"/>
      </w:pPr>
      <w:r>
        <w:rPr>
          <w:rFonts w:ascii="Calibri" w:cs="Calibri" w:eastAsia="Calibri" w:hAnsi="Calibri"/>
          <w:color w:val="4A5670"/>
          <w:sz w:val="22"/>
          <w:szCs w:val="22"/>
        </w:rPr>
        <w:t xml:space="preserve">Version 1.0 · September 2026 · Owner: VIXIV LTD (Company No. 17414140)</w:t>
      </w:r>
    </w:p>
    <w:p>
      <w:pPr>
        <w:spacing w:after="120" w:line="276"/>
      </w:pPr>
      <w:r>
        <w:rPr>
          <w:rFonts w:ascii="Calibri" w:cs="Calibri" w:eastAsia="Calibri" w:hAnsi="Calibri"/>
          <w:color w:val="4A5670"/>
          <w:sz w:val="22"/>
          <w:szCs w:val="22"/>
        </w:rPr>
        <w:t xml:space="preserve">Applies to: DealsDash, Gauge, Refurb Survey, vixiv.co.uk, VIXIV Land Intelligence tooling and any future web, mobile or document interface produced under the VIXIV name.</w:t>
      </w:r>
    </w:p>
    <w:p>
      <w:r>
        <w:br w:type="page"/>
      </w:r>
    </w:p>
    <w:p>
      <w:pPr>
        <w:spacing w:after="120"/>
      </w:pPr>
      <w:r>
        <w:rPr>
          <w:rFonts w:ascii="Cambria" w:cs="Cambria" w:eastAsia="Cambria" w:hAnsi="Cambria"/>
          <w:color w:val="1B2A4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mbria" w:cs="Cambria" w:eastAsia="Cambria" w:hAnsi="Cambria"/>
          <w:color w:val="1B2A4A"/>
          <w:sz w:val="36"/>
          <w:szCs w:val="36"/>
        </w:rPr>
        <w:t xml:space="preserve">1. Purpose and scope</w:t>
      </w:r>
    </w:p>
    <w:p>
      <w:pPr>
        <w:spacing w:after="120" w:line="276"/>
      </w:pPr>
      <w:r>
        <w:rPr>
          <w:rFonts w:ascii="Calibri" w:cs="Calibri" w:eastAsia="Calibri" w:hAnsi="Calibri"/>
          <w:color w:val="1B2A4A"/>
          <w:sz w:val="22"/>
          <w:szCs w:val="22"/>
        </w:rPr>
        <w:t xml:space="preserve">This standard defines how VIXIV software looks, behaves and is written so that every product reads as one company. It grew out of the Refurb Survey app and is the authoritative reference for updating DealsDash. It sits alongside the document brand system (Navy, Brick, Ice; Cambria and Calibri) already used for all formal .docx deliverables — the two share the same tokens.</w:t>
      </w:r>
    </w:p>
    <w:p>
      <w:pPr>
        <w:spacing w:after="120" w:line="276"/>
      </w:pPr>
      <w:r>
        <w:rPr>
          <w:rFonts w:ascii="Calibri" w:cs="Calibri" w:eastAsia="Calibri" w:hAnsi="Calibri"/>
          <w:color w:val="1B2A4A"/>
          <w:sz w:val="22"/>
          <w:szCs w:val="22"/>
        </w:rPr>
        <w:t xml:space="preserve">The standard is delivered as a code package (tokens, stylesheet, Tailwind preset, React components, component sheet) and this document. Where the two disagree, the code package's tokens.css is the source of truth and this document must be corrected.</w:t>
      </w:r>
    </w:p>
    <w:p>
      <w:pPr>
        <w:pStyle w:val="Heading2"/>
        <w:spacing w:after="100" w:before="240"/>
      </w:pPr>
      <w:r>
        <w:rPr>
          <w:rFonts w:ascii="Cambria" w:cs="Cambria" w:eastAsia="Cambria" w:hAnsi="Cambria"/>
          <w:color w:val="C1533C"/>
          <w:sz w:val="28"/>
          <w:szCs w:val="28"/>
        </w:rPr>
        <w:t xml:space="preserve">What the standard covers</w:t>
      </w:r>
    </w:p>
    <w:p>
      <w:pPr>
        <w:pStyle w:val="ListParagraph"/>
        <w:numPr>
          <w:ilvl w:val="0"/>
          <w:numId w:val="2"/>
        </w:numPr>
        <w:spacing w:after="60"/>
      </w:pPr>
      <w:r>
        <w:rPr>
          <w:rFonts w:ascii="Calibri" w:cs="Calibri" w:eastAsia="Calibri" w:hAnsi="Calibri"/>
          <w:color w:val="1B2A4A"/>
          <w:sz w:val="22"/>
          <w:szCs w:val="22"/>
        </w:rPr>
        <w:t xml:space="preserve">Design tokens: colour (light and dark), type, spacing, shape, motion.</w:t>
      </w:r>
    </w:p>
    <w:p>
      <w:pPr>
        <w:pStyle w:val="ListParagraph"/>
        <w:numPr>
          <w:ilvl w:val="0"/>
          <w:numId w:val="2"/>
        </w:numPr>
        <w:spacing w:after="60"/>
      </w:pPr>
      <w:r>
        <w:rPr>
          <w:rFonts w:ascii="Calibri" w:cs="Calibri" w:eastAsia="Calibri" w:hAnsi="Calibri"/>
          <w:color w:val="1B2A4A"/>
          <w:sz w:val="22"/>
          <w:szCs w:val="22"/>
        </w:rPr>
        <w:t xml:space="preserve">Layout and navigation patterns for mobile-first and desktop screens.</w:t>
      </w:r>
    </w:p>
    <w:p>
      <w:pPr>
        <w:pStyle w:val="ListParagraph"/>
        <w:numPr>
          <w:ilvl w:val="0"/>
          <w:numId w:val="2"/>
        </w:numPr>
        <w:spacing w:after="60"/>
      </w:pPr>
      <w:r>
        <w:rPr>
          <w:rFonts w:ascii="Calibri" w:cs="Calibri" w:eastAsia="Calibri" w:hAnsi="Calibri"/>
          <w:color w:val="1B2A4A"/>
          <w:sz w:val="22"/>
          <w:szCs w:val="22"/>
        </w:rPr>
        <w:t xml:space="preserve">Components with states, anatomy and usage rules.</w:t>
      </w:r>
    </w:p>
    <w:p>
      <w:pPr>
        <w:pStyle w:val="ListParagraph"/>
        <w:numPr>
          <w:ilvl w:val="0"/>
          <w:numId w:val="2"/>
        </w:numPr>
        <w:spacing w:after="60"/>
      </w:pPr>
      <w:r>
        <w:rPr>
          <w:rFonts w:ascii="Calibri" w:cs="Calibri" w:eastAsia="Calibri" w:hAnsi="Calibri"/>
          <w:color w:val="1B2A4A"/>
          <w:sz w:val="22"/>
          <w:szCs w:val="22"/>
        </w:rPr>
        <w:t xml:space="preserve">Signature interaction patterns (live decision number, regulatory note, unvalidated figure).</w:t>
      </w:r>
    </w:p>
    <w:p>
      <w:pPr>
        <w:pStyle w:val="ListParagraph"/>
        <w:numPr>
          <w:ilvl w:val="0"/>
          <w:numId w:val="2"/>
        </w:numPr>
        <w:spacing w:after="60"/>
      </w:pPr>
      <w:r>
        <w:rPr>
          <w:rFonts w:ascii="Calibri" w:cs="Calibri" w:eastAsia="Calibri" w:hAnsi="Calibri"/>
          <w:color w:val="1B2A4A"/>
          <w:sz w:val="22"/>
          <w:szCs w:val="22"/>
        </w:rPr>
        <w:t xml:space="preserve">Accessibility, print and writing rules.</w:t>
      </w:r>
    </w:p>
    <w:p>
      <w:pPr>
        <w:pStyle w:val="ListParagraph"/>
        <w:numPr>
          <w:ilvl w:val="0"/>
          <w:numId w:val="2"/>
        </w:numPr>
        <w:spacing w:after="60"/>
      </w:pPr>
      <w:r>
        <w:rPr>
          <w:rFonts w:ascii="Calibri" w:cs="Calibri" w:eastAsia="Calibri" w:hAnsi="Calibri"/>
          <w:color w:val="1B2A4A"/>
          <w:sz w:val="22"/>
          <w:szCs w:val="22"/>
        </w:rPr>
        <w:t xml:space="preserve">Implementation and DealsDash migration.</w:t>
      </w:r>
    </w:p>
    <w:p>
      <w:pPr>
        <w:pStyle w:val="Heading2"/>
        <w:spacing w:after="100" w:before="240"/>
      </w:pPr>
      <w:r>
        <w:rPr>
          <w:rFonts w:ascii="Cambria" w:cs="Cambria" w:eastAsia="Cambria" w:hAnsi="Cambria"/>
          <w:color w:val="C1533C"/>
          <w:sz w:val="28"/>
          <w:szCs w:val="28"/>
        </w:rPr>
        <w:t xml:space="preserve">What it does not cover</w:t>
      </w:r>
    </w:p>
    <w:p>
      <w:pPr>
        <w:pStyle w:val="ListParagraph"/>
        <w:numPr>
          <w:ilvl w:val="0"/>
          <w:numId w:val="2"/>
        </w:numPr>
        <w:spacing w:after="60"/>
      </w:pPr>
      <w:r>
        <w:rPr>
          <w:rFonts w:ascii="Calibri" w:cs="Calibri" w:eastAsia="Calibri" w:hAnsi="Calibri"/>
          <w:color w:val="1B2A4A"/>
          <w:sz w:val="22"/>
          <w:szCs w:val="22"/>
        </w:rPr>
        <w:t xml:space="preserve">Marketing visuals for the corporate website beyond tokens (see VIXIV_Website_Design_Brief.md).</w:t>
      </w:r>
    </w:p>
    <w:p>
      <w:pPr>
        <w:pStyle w:val="ListParagraph"/>
        <w:numPr>
          <w:ilvl w:val="0"/>
          <w:numId w:val="2"/>
        </w:numPr>
        <w:spacing w:after="60"/>
      </w:pPr>
      <w:r>
        <w:rPr>
          <w:rFonts w:ascii="Calibri" w:cs="Calibri" w:eastAsia="Calibri" w:hAnsi="Calibri"/>
          <w:color w:val="1B2A4A"/>
          <w:sz w:val="22"/>
          <w:szCs w:val="22"/>
        </w:rPr>
        <w:t xml:space="preserve">Logo and print collateral.</w:t>
      </w:r>
    </w:p>
    <w:p>
      <w:pPr>
        <w:pStyle w:val="Heading1"/>
        <w:spacing w:after="160" w:before="360"/>
      </w:pPr>
      <w:r>
        <w:rPr>
          <w:rFonts w:ascii="Cambria" w:cs="Cambria" w:eastAsia="Cambria" w:hAnsi="Cambria"/>
          <w:color w:val="1B2A4A"/>
          <w:sz w:val="36"/>
          <w:szCs w:val="36"/>
        </w:rPr>
        <w:t xml:space="preserve">2. Principles</w:t>
      </w:r>
    </w:p>
    <w:p>
      <w:pPr>
        <w:spacing w:after="120" w:line="276"/>
      </w:pPr>
      <w:r>
        <w:rPr>
          <w:rFonts w:ascii="Calibri" w:cs="Calibri" w:eastAsia="Calibri" w:hAnsi="Calibri"/>
          <w:color w:val="1B2A4A"/>
          <w:sz w:val="22"/>
          <w:szCs w:val="22"/>
        </w:rPr>
        <w:t xml:space="preserve">Ten rules that every screen is checked against.</w:t>
      </w:r>
    </w:p>
    <w:p>
      <w:pPr>
        <w:pStyle w:val="ListParagraph"/>
        <w:numPr>
          <w:ilvl w:val="0"/>
          <w:numId w:val="3"/>
        </w:numPr>
        <w:spacing w:after="60"/>
      </w:pPr>
      <w:r>
        <w:rPr>
          <w:rFonts w:ascii="Calibri" w:cs="Calibri" w:eastAsia="Calibri" w:hAnsi="Calibri"/>
          <w:b/>
          <w:bCs/>
          <w:color w:val="1B2A4A"/>
          <w:sz w:val="22"/>
          <w:szCs w:val="22"/>
        </w:rPr>
        <w:t xml:space="preserve">Colour comes from tokens only. </w:t>
      </w:r>
      <w:r>
        <w:rPr>
          <w:rFonts w:ascii="Calibri" w:cs="Calibri" w:eastAsia="Calibri" w:hAnsi="Calibri"/>
          <w:color w:val="1B2A4A"/>
          <w:sz w:val="22"/>
          <w:szCs w:val="22"/>
        </w:rPr>
        <w:t xml:space="preserve">Never hard-code a hex in a component. Brand tokens are constant; semantic tokens swap with theme.</w:t>
      </w:r>
    </w:p>
    <w:p>
      <w:pPr>
        <w:pStyle w:val="ListParagraph"/>
        <w:numPr>
          <w:ilvl w:val="0"/>
          <w:numId w:val="3"/>
        </w:numPr>
        <w:spacing w:after="60"/>
      </w:pPr>
      <w:r>
        <w:rPr>
          <w:rFonts w:ascii="Calibri" w:cs="Calibri" w:eastAsia="Calibri" w:hAnsi="Calibri"/>
          <w:b/>
          <w:bCs/>
          <w:color w:val="1B2A4A"/>
          <w:sz w:val="22"/>
          <w:szCs w:val="22"/>
        </w:rPr>
        <w:t xml:space="preserve">Two typefaces with fixed roles. </w:t>
      </w:r>
      <w:r>
        <w:rPr>
          <w:rFonts w:ascii="Calibri" w:cs="Calibri" w:eastAsia="Calibri" w:hAnsi="Calibri"/>
          <w:color w:val="1B2A4A"/>
          <w:sz w:val="22"/>
          <w:szCs w:val="22"/>
        </w:rPr>
        <w:t xml:space="preserve">Cambria for headings, display numbers and stat values; Calibri for everything else. Cambria is never bolded — hierarchy comes from size.</w:t>
      </w:r>
    </w:p>
    <w:p>
      <w:pPr>
        <w:pStyle w:val="ListParagraph"/>
        <w:numPr>
          <w:ilvl w:val="0"/>
          <w:numId w:val="3"/>
        </w:numPr>
        <w:spacing w:after="60"/>
      </w:pPr>
      <w:r>
        <w:rPr>
          <w:rFonts w:ascii="Calibri" w:cs="Calibri" w:eastAsia="Calibri" w:hAnsi="Calibri"/>
          <w:b/>
          <w:bCs/>
          <w:color w:val="1B2A4A"/>
          <w:sz w:val="22"/>
          <w:szCs w:val="22"/>
        </w:rPr>
        <w:t xml:space="preserve">Brick is a signal, not decoration. </w:t>
      </w:r>
      <w:r>
        <w:rPr>
          <w:rFonts w:ascii="Calibri" w:cs="Calibri" w:eastAsia="Calibri" w:hAnsi="Calibri"/>
          <w:color w:val="1B2A4A"/>
          <w:sz w:val="22"/>
          <w:szCs w:val="22"/>
        </w:rPr>
        <w:t xml:space="preserve">It marks the selected tab, the edge of a note, the live bar rule, section headings and negative outcomes. It is never a background behind body text.</w:t>
      </w:r>
    </w:p>
    <w:p>
      <w:pPr>
        <w:pStyle w:val="ListParagraph"/>
        <w:numPr>
          <w:ilvl w:val="0"/>
          <w:numId w:val="3"/>
        </w:numPr>
        <w:spacing w:after="60"/>
      </w:pPr>
      <w:r>
        <w:rPr>
          <w:rFonts w:ascii="Calibri" w:cs="Calibri" w:eastAsia="Calibri" w:hAnsi="Calibri"/>
          <w:b/>
          <w:bCs/>
          <w:color w:val="1B2A4A"/>
          <w:sz w:val="22"/>
          <w:szCs w:val="22"/>
        </w:rPr>
        <w:t xml:space="preserve">One radius, one pill, one rule. </w:t>
      </w:r>
      <w:r>
        <w:rPr>
          <w:rFonts w:ascii="Calibri" w:cs="Calibri" w:eastAsia="Calibri" w:hAnsi="Calibri"/>
          <w:color w:val="1B2A4A"/>
          <w:sz w:val="22"/>
          <w:szCs w:val="22"/>
        </w:rPr>
        <w:t xml:space="preserve">4 px on inputs, buttons and stats; 999 px on segmented choices; a 3 px brick rule wherever the accent draws a line.</w:t>
      </w:r>
    </w:p>
    <w:p>
      <w:pPr>
        <w:pStyle w:val="ListParagraph"/>
        <w:numPr>
          <w:ilvl w:val="0"/>
          <w:numId w:val="3"/>
        </w:numPr>
        <w:spacing w:after="60"/>
      </w:pPr>
      <w:r>
        <w:rPr>
          <w:rFonts w:ascii="Calibri" w:cs="Calibri" w:eastAsia="Calibri" w:hAnsi="Calibri"/>
          <w:b/>
          <w:bCs/>
          <w:color w:val="1B2A4A"/>
          <w:sz w:val="22"/>
          <w:szCs w:val="22"/>
        </w:rPr>
        <w:t xml:space="preserve">Lists use rules, not cards. </w:t>
      </w:r>
      <w:r>
        <w:rPr>
          <w:rFonts w:ascii="Calibri" w:cs="Calibri" w:eastAsia="Calibri" w:hAnsi="Calibri"/>
          <w:color w:val="1B2A4A"/>
          <w:sz w:val="22"/>
          <w:szCs w:val="22"/>
        </w:rPr>
        <w:t xml:space="preserve">Items are separated by 1 px dividers on the page background. Only stats and notes sit on the ice surface. No drop shadows on content.</w:t>
      </w:r>
    </w:p>
    <w:p>
      <w:pPr>
        <w:pStyle w:val="ListParagraph"/>
        <w:numPr>
          <w:ilvl w:val="0"/>
          <w:numId w:val="3"/>
        </w:numPr>
        <w:spacing w:after="60"/>
      </w:pPr>
      <w:r>
        <w:rPr>
          <w:rFonts w:ascii="Calibri" w:cs="Calibri" w:eastAsia="Calibri" w:hAnsi="Calibri"/>
          <w:b/>
          <w:bCs/>
          <w:color w:val="1B2A4A"/>
          <w:sz w:val="22"/>
          <w:szCs w:val="22"/>
        </w:rPr>
        <w:t xml:space="preserve">The decision number is always visible. </w:t>
      </w:r>
      <w:r>
        <w:rPr>
          <w:rFonts w:ascii="Calibri" w:cs="Calibri" w:eastAsia="Calibri" w:hAnsi="Calibri"/>
          <w:color w:val="1B2A4A"/>
          <w:sz w:val="22"/>
          <w:szCs w:val="22"/>
        </w:rPr>
        <w:t xml:space="preserve">When a screen drives one figure (maximum bid, capital required, refinance release), pin it in a live bar that updates as inputs change.</w:t>
      </w:r>
    </w:p>
    <w:p>
      <w:pPr>
        <w:pStyle w:val="ListParagraph"/>
        <w:numPr>
          <w:ilvl w:val="0"/>
          <w:numId w:val="3"/>
        </w:numPr>
        <w:spacing w:after="60"/>
      </w:pPr>
      <w:r>
        <w:rPr>
          <w:rFonts w:ascii="Calibri" w:cs="Calibri" w:eastAsia="Calibri" w:hAnsi="Calibri"/>
          <w:b/>
          <w:bCs/>
          <w:color w:val="1B2A4A"/>
          <w:sz w:val="22"/>
          <w:szCs w:val="22"/>
        </w:rPr>
        <w:t xml:space="preserve">Sentence case, plain verbs. </w:t>
      </w:r>
      <w:r>
        <w:rPr>
          <w:rFonts w:ascii="Calibri" w:cs="Calibri" w:eastAsia="Calibri" w:hAnsi="Calibri"/>
          <w:color w:val="1B2A4A"/>
          <w:sz w:val="22"/>
          <w:szCs w:val="22"/>
        </w:rPr>
        <w:t xml:space="preserve">No all-caps labels, no eyebrow labels, no numbered markers unless the content is a sequence.</w:t>
      </w:r>
    </w:p>
    <w:p>
      <w:pPr>
        <w:pStyle w:val="ListParagraph"/>
        <w:numPr>
          <w:ilvl w:val="0"/>
          <w:numId w:val="3"/>
        </w:numPr>
        <w:spacing w:after="60"/>
      </w:pPr>
      <w:r>
        <w:rPr>
          <w:rFonts w:ascii="Calibri" w:cs="Calibri" w:eastAsia="Calibri" w:hAnsi="Calibri"/>
          <w:b/>
          <w:bCs/>
          <w:color w:val="1B2A4A"/>
          <w:sz w:val="22"/>
          <w:szCs w:val="22"/>
        </w:rPr>
        <w:t xml:space="preserve">Everything actionable is a button with a visible focus ring, </w:t>
      </w:r>
      <w:r>
        <w:rPr>
          <w:rFonts w:ascii="Calibri" w:cs="Calibri" w:eastAsia="Calibri" w:hAnsi="Calibri"/>
          <w:color w:val="1B2A4A"/>
          <w:sz w:val="22"/>
          <w:szCs w:val="22"/>
        </w:rPr>
        <w:t xml:space="preserve">at least 40 px tall on touch surfaces.</w:t>
      </w:r>
    </w:p>
    <w:p>
      <w:pPr>
        <w:pStyle w:val="ListParagraph"/>
        <w:numPr>
          <w:ilvl w:val="0"/>
          <w:numId w:val="3"/>
        </w:numPr>
        <w:spacing w:after="60"/>
      </w:pPr>
      <w:r>
        <w:rPr>
          <w:rFonts w:ascii="Calibri" w:cs="Calibri" w:eastAsia="Calibri" w:hAnsi="Calibri"/>
          <w:b/>
          <w:bCs/>
          <w:color w:val="1B2A4A"/>
          <w:sz w:val="22"/>
          <w:szCs w:val="22"/>
        </w:rPr>
        <w:t xml:space="preserve">Print is a first-class theme. </w:t>
      </w:r>
      <w:r>
        <w:rPr>
          <w:rFonts w:ascii="Calibri" w:cs="Calibri" w:eastAsia="Calibri" w:hAnsi="Calibri"/>
          <w:color w:val="1B2A4A"/>
          <w:sz w:val="22"/>
          <w:szCs w:val="22"/>
        </w:rPr>
        <w:t xml:space="preserve">Reports print cleanly with headers, nav and live bars removed and ice surfaces preserved.</w:t>
      </w:r>
    </w:p>
    <w:p>
      <w:pPr>
        <w:pStyle w:val="ListParagraph"/>
        <w:numPr>
          <w:ilvl w:val="0"/>
          <w:numId w:val="3"/>
        </w:numPr>
        <w:spacing w:after="60"/>
      </w:pPr>
      <w:r>
        <w:rPr>
          <w:rFonts w:ascii="Calibri" w:cs="Calibri" w:eastAsia="Calibri" w:hAnsi="Calibri"/>
          <w:b/>
          <w:bCs/>
          <w:color w:val="1B2A4A"/>
          <w:sz w:val="22"/>
          <w:szCs w:val="22"/>
        </w:rPr>
        <w:t xml:space="preserve">Unvalidated figures are marked. </w:t>
      </w:r>
      <w:r>
        <w:rPr>
          <w:rFonts w:ascii="Calibri" w:cs="Calibri" w:eastAsia="Calibri" w:hAnsi="Calibri"/>
          <w:color w:val="1B2A4A"/>
          <w:sz w:val="22"/>
          <w:szCs w:val="22"/>
        </w:rPr>
        <w:t xml:space="preserve">Benchmarks, estimates and proposed regulations carry a caution note; quoted or verified figures do not.</w:t>
      </w:r>
    </w:p>
    <w:p>
      <w:pPr>
        <w:pStyle w:val="Heading1"/>
        <w:spacing w:after="160" w:before="360"/>
      </w:pPr>
      <w:r>
        <w:rPr>
          <w:rFonts w:ascii="Cambria" w:cs="Cambria" w:eastAsia="Cambria" w:hAnsi="Cambria"/>
          <w:color w:val="1B2A4A"/>
          <w:sz w:val="36"/>
          <w:szCs w:val="36"/>
        </w:rPr>
        <w:t xml:space="preserve">3. Colour</w:t>
      </w:r>
    </w:p>
    <w:p>
      <w:pPr>
        <w:pStyle w:val="Heading2"/>
        <w:spacing w:after="100" w:before="240"/>
      </w:pPr>
      <w:r>
        <w:rPr>
          <w:rFonts w:ascii="Cambria" w:cs="Cambria" w:eastAsia="Cambria" w:hAnsi="Cambria"/>
          <w:color w:val="C1533C"/>
          <w:sz w:val="28"/>
          <w:szCs w:val="28"/>
        </w:rPr>
        <w:t xml:space="preserve">Brand palette</w:t>
      </w:r>
    </w:p>
    <w:p>
      <w:pPr>
        <w:spacing w:after="120" w:line="276"/>
      </w:pPr>
      <w:r>
        <w:rPr>
          <w:rFonts w:ascii="Calibri" w:cs="Calibri" w:eastAsia="Calibri" w:hAnsi="Calibri"/>
          <w:color w:val="1B2A4A"/>
          <w:sz w:val="22"/>
          <w:szCs w:val="22"/>
        </w:rPr>
        <w:t xml:space="preserve">Three constants shared with the document brand system. They do not change with theme.</w:t>
      </w:r>
    </w:p>
    <w:tbl>
      <w:tblPr>
        <w:tblW w:type="dxa" w:w="9360"/>
        <w:tblBorders>
          <w:top w:val="single" w:color="DFE5EE" w:sz="4"/>
          <w:left w:val="none" w:sz="0"/>
          <w:bottom w:val="single" w:color="DFE5EE" w:sz="4"/>
          <w:right w:val="none" w:sz="0"/>
          <w:insideH w:val="single" w:color="DFE5EE" w:sz="4"/>
          <w:insideV w:val="none" w:sz="0"/>
        </w:tblBorders>
      </w:tblPr>
      <w:tblGrid>
        <w:gridCol w:w="1800"/>
        <w:gridCol w:w="1800"/>
        <w:gridCol w:w="5760"/>
      </w:tblGrid>
      <w:tr>
        <w:trPr>
          <w:tblHeader/>
        </w:trPr>
        <w:tc>
          <w:tcPr>
            <w:tcW w:type="dxa" w:w="18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Name</w:t>
            </w:r>
          </w:p>
        </w:tc>
        <w:tc>
          <w:tcPr>
            <w:tcW w:type="dxa" w:w="18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Hex</w:t>
            </w:r>
          </w:p>
        </w:tc>
        <w:tc>
          <w:tcPr>
            <w:tcW w:type="dxa" w:w="576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Role</w:t>
            </w:r>
          </w:p>
        </w:tc>
      </w:tr>
      <w:tr>
        <w:tc>
          <w:tcPr>
            <w:tcW w:type="dxa" w:w="1800"/>
            <w:tcMar>
              <w:top w:type="dxa" w:w="60"/>
              <w:left w:type="dxa" w:w="90"/>
              <w:bottom w:type="dxa" w:w="60"/>
              <w:right w:type="dxa" w:w="90"/>
            </w:tcMar>
          </w:tcPr>
          <w:p>
            <w:pPr>
              <w:spacing w:after="0"/>
            </w:pPr>
            <w:r>
              <w:rPr>
                <w:rFonts w:ascii="Calibri" w:cs="Calibri" w:eastAsia="Calibri" w:hAnsi="Calibri"/>
                <w:color w:val="1B2A4A"/>
                <w:sz w:val="19"/>
                <w:szCs w:val="19"/>
              </w:rPr>
              <w:t xml:space="preserve">Navy</w:t>
            </w:r>
          </w:p>
        </w:tc>
        <w:tc>
          <w:tcPr>
            <w:tcW w:type="dxa" w:w="1800"/>
            <w:shd w:fill="1B2A4A"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#1B2A4A</w:t>
            </w:r>
          </w:p>
        </w:tc>
        <w:tc>
          <w:tcPr>
            <w:tcW w:type="dxa" w:w="5760"/>
            <w:tcMar>
              <w:top w:type="dxa" w:w="60"/>
              <w:left w:type="dxa" w:w="90"/>
              <w:bottom w:type="dxa" w:w="60"/>
              <w:right w:type="dxa" w:w="90"/>
            </w:tcMar>
          </w:tcPr>
          <w:p>
            <w:pPr>
              <w:spacing w:after="0"/>
            </w:pPr>
            <w:r>
              <w:rPr>
                <w:rFonts w:ascii="Calibri" w:cs="Calibri" w:eastAsia="Calibri" w:hAnsi="Calibri"/>
                <w:color w:val="1B2A4A"/>
                <w:sz w:val="19"/>
                <w:szCs w:val="19"/>
              </w:rPr>
              <w:t xml:space="preserve">Headers, primary buttons, body text (light), panel surface (dark)</w:t>
            </w:r>
          </w:p>
        </w:tc>
      </w:tr>
      <w:tr>
        <w:tc>
          <w:tcPr>
            <w:tcW w:type="dxa" w:w="1800"/>
            <w:tcMar>
              <w:top w:type="dxa" w:w="60"/>
              <w:left w:type="dxa" w:w="90"/>
              <w:bottom w:type="dxa" w:w="60"/>
              <w:right w:type="dxa" w:w="90"/>
            </w:tcMar>
          </w:tcPr>
          <w:p>
            <w:pPr>
              <w:spacing w:after="0"/>
            </w:pPr>
            <w:r>
              <w:rPr>
                <w:rFonts w:ascii="Calibri" w:cs="Calibri" w:eastAsia="Calibri" w:hAnsi="Calibri"/>
                <w:color w:val="1B2A4A"/>
                <w:sz w:val="19"/>
                <w:szCs w:val="19"/>
              </w:rPr>
              <w:t xml:space="preserve">Brick</w:t>
            </w:r>
          </w:p>
        </w:tc>
        <w:tc>
          <w:tcPr>
            <w:tcW w:type="dxa" w:w="1800"/>
            <w:shd w:fill="C1533C"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#C1533C</w:t>
            </w:r>
          </w:p>
        </w:tc>
        <w:tc>
          <w:tcPr>
            <w:tcW w:type="dxa" w:w="5760"/>
            <w:tcMar>
              <w:top w:type="dxa" w:w="60"/>
              <w:left w:type="dxa" w:w="90"/>
              <w:bottom w:type="dxa" w:w="60"/>
              <w:right w:type="dxa" w:w="90"/>
            </w:tcMar>
          </w:tcPr>
          <w:p>
            <w:pPr>
              <w:spacing w:after="0"/>
            </w:pPr>
            <w:r>
              <w:rPr>
                <w:rFonts w:ascii="Calibri" w:cs="Calibri" w:eastAsia="Calibri" w:hAnsi="Calibri"/>
                <w:color w:val="1B2A4A"/>
                <w:sz w:val="19"/>
                <w:szCs w:val="19"/>
              </w:rPr>
              <w:t xml:space="preserve">Accent: selected state rule, note edge, section headings, negative tone</w:t>
            </w:r>
          </w:p>
        </w:tc>
      </w:tr>
      <w:tr>
        <w:tc>
          <w:tcPr>
            <w:tcW w:type="dxa" w:w="1800"/>
            <w:tcMar>
              <w:top w:type="dxa" w:w="60"/>
              <w:left w:type="dxa" w:w="90"/>
              <w:bottom w:type="dxa" w:w="60"/>
              <w:right w:type="dxa" w:w="90"/>
            </w:tcMar>
          </w:tcPr>
          <w:p>
            <w:pPr>
              <w:spacing w:after="0"/>
            </w:pPr>
            <w:r>
              <w:rPr>
                <w:rFonts w:ascii="Calibri" w:cs="Calibri" w:eastAsia="Calibri" w:hAnsi="Calibri"/>
                <w:color w:val="1B2A4A"/>
                <w:sz w:val="19"/>
                <w:szCs w:val="19"/>
              </w:rPr>
              <w:t xml:space="preserve">Ice</w:t>
            </w:r>
          </w:p>
        </w:tc>
        <w:tc>
          <w:tcPr>
            <w:tcW w:type="dxa" w:w="1800"/>
            <w:shd w:fill="E7ECF3" w:color="auto" w:val="clear"/>
            <w:tcMar>
              <w:top w:type="dxa" w:w="60"/>
              <w:left w:type="dxa" w:w="90"/>
              <w:bottom w:type="dxa" w:w="60"/>
              <w:right w:type="dxa" w:w="90"/>
            </w:tcMar>
          </w:tcPr>
          <w:p>
            <w:pPr>
              <w:spacing w:after="0"/>
            </w:pPr>
            <w:r>
              <w:rPr>
                <w:rFonts w:ascii="Calibri" w:cs="Calibri" w:eastAsia="Calibri" w:hAnsi="Calibri"/>
                <w:color w:val="1B2A4A"/>
                <w:sz w:val="19"/>
                <w:szCs w:val="19"/>
              </w:rPr>
              <w:t xml:space="preserve">#E7ECF3</w:t>
            </w:r>
          </w:p>
        </w:tc>
        <w:tc>
          <w:tcPr>
            <w:tcW w:type="dxa" w:w="5760"/>
            <w:tcMar>
              <w:top w:type="dxa" w:w="60"/>
              <w:left w:type="dxa" w:w="90"/>
              <w:bottom w:type="dxa" w:w="60"/>
              <w:right w:type="dxa" w:w="90"/>
            </w:tcMar>
          </w:tcPr>
          <w:p>
            <w:pPr>
              <w:spacing w:after="0"/>
            </w:pPr>
            <w:r>
              <w:rPr>
                <w:rFonts w:ascii="Calibri" w:cs="Calibri" w:eastAsia="Calibri" w:hAnsi="Calibri"/>
                <w:color w:val="1B2A4A"/>
                <w:sz w:val="19"/>
                <w:szCs w:val="19"/>
              </w:rPr>
              <w:t xml:space="preserve">Panel surface (light), body text (dark)</w:t>
            </w:r>
          </w:p>
        </w:tc>
      </w:tr>
    </w:tbl>
    <w:p>
      <w:pPr>
        <w:spacing w:after="120"/>
      </w:pPr>
    </w:p>
    <w:p>
      <w:pPr>
        <w:pStyle w:val="Heading2"/>
        <w:spacing w:after="100" w:before="240"/>
      </w:pPr>
      <w:r>
        <w:rPr>
          <w:rFonts w:ascii="Cambria" w:cs="Cambria" w:eastAsia="Cambria" w:hAnsi="Cambria"/>
          <w:color w:val="C1533C"/>
          <w:sz w:val="28"/>
          <w:szCs w:val="28"/>
        </w:rPr>
        <w:t xml:space="preserve">Semantic tokens — light theme</w:t>
      </w:r>
    </w:p>
    <w:p>
      <w:pPr>
        <w:spacing w:after="120" w:line="276"/>
      </w:pPr>
      <w:r>
        <w:rPr>
          <w:rFonts w:ascii="Calibri" w:cs="Calibri" w:eastAsia="Calibri" w:hAnsi="Calibri"/>
          <w:color w:val="1B2A4A"/>
          <w:sz w:val="22"/>
          <w:szCs w:val="22"/>
        </w:rPr>
        <w:t xml:space="preserve">Contrast ratios are against the page background (#FFFFFF) unless stated. All text pairs meet WCAG 2.1 AA (4.5:1).</w:t>
      </w:r>
    </w:p>
    <w:tbl>
      <w:tblPr>
        <w:tblW w:type="dxa" w:w="9360"/>
        <w:tblBorders>
          <w:top w:val="single" w:color="DFE5EE" w:sz="4"/>
          <w:left w:val="none" w:sz="0"/>
          <w:bottom w:val="single" w:color="DFE5EE" w:sz="4"/>
          <w:right w:val="none" w:sz="0"/>
          <w:insideH w:val="single" w:color="DFE5EE" w:sz="4"/>
          <w:insideV w:val="none" w:sz="0"/>
        </w:tblBorders>
      </w:tblPr>
      <w:tblGrid>
        <w:gridCol w:w="2000"/>
        <w:gridCol w:w="1400"/>
        <w:gridCol w:w="3760"/>
        <w:gridCol w:w="2200"/>
      </w:tblGrid>
      <w:tr>
        <w:trPr>
          <w:tblHeader/>
        </w:trPr>
        <w:tc>
          <w:tcPr>
            <w:tcW w:type="dxa" w:w="20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Token</w:t>
            </w:r>
          </w:p>
        </w:tc>
        <w:tc>
          <w:tcPr>
            <w:tcW w:type="dxa" w:w="14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Hex</w:t>
            </w:r>
          </w:p>
        </w:tc>
        <w:tc>
          <w:tcPr>
            <w:tcW w:type="dxa" w:w="376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Use</w:t>
            </w:r>
          </w:p>
        </w:tc>
        <w:tc>
          <w:tcPr>
            <w:tcW w:type="dxa" w:w="22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Contrast</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--vx-bg</w:t>
            </w:r>
          </w:p>
        </w:tc>
        <w:tc>
          <w:tcPr>
            <w:tcW w:type="dxa" w:w="1400"/>
            <w:shd w:fill="FFFFFF" w:color="auto" w:val="clear"/>
            <w:tcMar>
              <w:top w:type="dxa" w:w="60"/>
              <w:left w:type="dxa" w:w="90"/>
              <w:bottom w:type="dxa" w:w="60"/>
              <w:right w:type="dxa" w:w="90"/>
            </w:tcMar>
          </w:tcPr>
          <w:p>
            <w:pPr>
              <w:spacing w:after="0"/>
            </w:pPr>
            <w:r>
              <w:rPr>
                <w:rFonts w:ascii="Calibri" w:cs="Calibri" w:eastAsia="Calibri" w:hAnsi="Calibri"/>
                <w:color w:val="1B2A4A"/>
                <w:sz w:val="19"/>
                <w:szCs w:val="19"/>
              </w:rPr>
              <w:t xml:space="preserve">#FFFFFF</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Page background</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--vx-surface</w:t>
            </w:r>
          </w:p>
        </w:tc>
        <w:tc>
          <w:tcPr>
            <w:tcW w:type="dxa" w:w="1400"/>
            <w:shd w:fill="E7ECF3" w:color="auto" w:val="clear"/>
            <w:tcMar>
              <w:top w:type="dxa" w:w="60"/>
              <w:left w:type="dxa" w:w="90"/>
              <w:bottom w:type="dxa" w:w="60"/>
              <w:right w:type="dxa" w:w="90"/>
            </w:tcMar>
          </w:tcPr>
          <w:p>
            <w:pPr>
              <w:spacing w:after="0"/>
            </w:pPr>
            <w:r>
              <w:rPr>
                <w:rFonts w:ascii="Calibri" w:cs="Calibri" w:eastAsia="Calibri" w:hAnsi="Calibri"/>
                <w:color w:val="1B2A4A"/>
                <w:sz w:val="19"/>
                <w:szCs w:val="19"/>
              </w:rPr>
              <w:t xml:space="preserve">#E7ECF3</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Stats, notes, table header</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--vx-surface-2</w:t>
            </w:r>
          </w:p>
        </w:tc>
        <w:tc>
          <w:tcPr>
            <w:tcW w:type="dxa" w:w="1400"/>
            <w:shd w:fill="F5F7FA" w:color="auto" w:val="clear"/>
            <w:tcMar>
              <w:top w:type="dxa" w:w="60"/>
              <w:left w:type="dxa" w:w="90"/>
              <w:bottom w:type="dxa" w:w="60"/>
              <w:right w:type="dxa" w:w="90"/>
            </w:tcMar>
          </w:tcPr>
          <w:p>
            <w:pPr>
              <w:spacing w:after="0"/>
            </w:pPr>
            <w:r>
              <w:rPr>
                <w:rFonts w:ascii="Calibri" w:cs="Calibri" w:eastAsia="Calibri" w:hAnsi="Calibri"/>
                <w:color w:val="1B2A4A"/>
                <w:sz w:val="19"/>
                <w:szCs w:val="19"/>
              </w:rPr>
              <w:t xml:space="preserve">#F5F7FA</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Zebra rows, disabled inputs</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--vx-header-bg</w:t>
            </w:r>
          </w:p>
        </w:tc>
        <w:tc>
          <w:tcPr>
            <w:tcW w:type="dxa" w:w="1400"/>
            <w:shd w:fill="1B2A4A"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#1B2A4A</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App header, sidebar</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--vx-text</w:t>
            </w:r>
          </w:p>
        </w:tc>
        <w:tc>
          <w:tcPr>
            <w:tcW w:type="dxa" w:w="1400"/>
            <w:shd w:fill="1B2A4A"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#1B2A4A</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Body text</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14.2:1</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--vx-text-muted</w:t>
            </w:r>
          </w:p>
        </w:tc>
        <w:tc>
          <w:tcPr>
            <w:tcW w:type="dxa" w:w="1400"/>
            <w:shd w:fill="4A5670"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#4A5670</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Guidance, captions, labels</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7.4:1 (6.2:1 on surface)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--vx-accent</w:t>
            </w:r>
          </w:p>
        </w:tc>
        <w:tc>
          <w:tcPr>
            <w:tcW w:type="dxa" w:w="1400"/>
            <w:shd w:fill="C1533C"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#C1533C</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Brick accent, section headings, negative</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4.6:1</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--vx-accent-strong</w:t>
            </w:r>
          </w:p>
        </w:tc>
        <w:tc>
          <w:tcPr>
            <w:tcW w:type="dxa" w:w="1400"/>
            <w:shd w:fill="A6412E"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#A6412E</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Small accent text (status lines)</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6.2:1</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--vx-border</w:t>
            </w:r>
          </w:p>
        </w:tc>
        <w:tc>
          <w:tcPr>
            <w:tcW w:type="dxa" w:w="1400"/>
            <w:shd w:fill="C7D0DE" w:color="auto" w:val="clear"/>
            <w:tcMar>
              <w:top w:type="dxa" w:w="60"/>
              <w:left w:type="dxa" w:w="90"/>
              <w:bottom w:type="dxa" w:w="60"/>
              <w:right w:type="dxa" w:w="90"/>
            </w:tcMar>
          </w:tcPr>
          <w:p>
            <w:pPr>
              <w:spacing w:after="0"/>
            </w:pPr>
            <w:r>
              <w:rPr>
                <w:rFonts w:ascii="Calibri" w:cs="Calibri" w:eastAsia="Calibri" w:hAnsi="Calibri"/>
                <w:color w:val="1B2A4A"/>
                <w:sz w:val="19"/>
                <w:szCs w:val="19"/>
              </w:rPr>
              <w:t xml:space="preserve">#C7D0DE</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Input and pill borders</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--vx-divider</w:t>
            </w:r>
          </w:p>
        </w:tc>
        <w:tc>
          <w:tcPr>
            <w:tcW w:type="dxa" w:w="1400"/>
            <w:shd w:fill="DFE5EE" w:color="auto" w:val="clear"/>
            <w:tcMar>
              <w:top w:type="dxa" w:w="60"/>
              <w:left w:type="dxa" w:w="90"/>
              <w:bottom w:type="dxa" w:w="60"/>
              <w:right w:type="dxa" w:w="90"/>
            </w:tcMar>
          </w:tcPr>
          <w:p>
            <w:pPr>
              <w:spacing w:after="0"/>
            </w:pPr>
            <w:r>
              <w:rPr>
                <w:rFonts w:ascii="Calibri" w:cs="Calibri" w:eastAsia="Calibri" w:hAnsi="Calibri"/>
                <w:color w:val="1B2A4A"/>
                <w:sz w:val="19"/>
                <w:szCs w:val="19"/>
              </w:rPr>
              <w:t xml:space="preserve">#DFE5EE</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List and table rules</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--vx-positive</w:t>
            </w:r>
          </w:p>
        </w:tc>
        <w:tc>
          <w:tcPr>
            <w:tcW w:type="dxa" w:w="1400"/>
            <w:shd w:fill="2E7D4F"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#2E7D4F</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Proceed / satisfied</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5.1:1</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--vx-caution</w:t>
            </w:r>
          </w:p>
        </w:tc>
        <w:tc>
          <w:tcPr>
            <w:tcW w:type="dxa" w:w="1400"/>
            <w:shd w:fill="8A6508"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#8A6508</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Negotiate / unvalidated</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5.3:1</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--vx-negative</w:t>
            </w:r>
          </w:p>
        </w:tc>
        <w:tc>
          <w:tcPr>
            <w:tcW w:type="dxa" w:w="1400"/>
            <w:shd w:fill="C1533C"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#C1533C</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Walk away / needs action</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4.6:1</w:t>
            </w:r>
          </w:p>
        </w:tc>
      </w:tr>
    </w:tbl>
    <w:p>
      <w:pPr>
        <w:spacing w:after="120"/>
      </w:pPr>
    </w:p>
    <w:p>
      <w:pPr>
        <w:pBdr>
          <w:left w:val="single" w:color="C1533C" w:sz="24" w:space="6"/>
        </w:pBdr>
        <w:shd w:fill="E7ECF3" w:color="auto" w:val="clear"/>
        <w:spacing w:after="160"/>
        <w:ind w:left="120"/>
      </w:pPr>
      <w:r>
        <w:rPr>
          <w:rFonts w:ascii="Calibri" w:cs="Calibri" w:eastAsia="Calibri" w:hAnsi="Calibri"/>
          <w:color w:val="1B2A4A"/>
          <w:sz w:val="20"/>
          <w:szCs w:val="20"/>
        </w:rPr>
        <w:t xml:space="preserve">The gold #B8860B used in early drafts fails AA for text (3.25:1) and has been replaced by #8A6508 for the caution tone. Do not reintroduce it.</w:t>
      </w:r>
    </w:p>
    <w:p>
      <w:pPr>
        <w:pStyle w:val="Heading2"/>
        <w:spacing w:after="100" w:before="240"/>
      </w:pPr>
      <w:r>
        <w:rPr>
          <w:rFonts w:ascii="Cambria" w:cs="Cambria" w:eastAsia="Cambria" w:hAnsi="Cambria"/>
          <w:color w:val="C1533C"/>
          <w:sz w:val="28"/>
          <w:szCs w:val="28"/>
        </w:rPr>
        <w:t xml:space="preserve">Semantic tokens — dark theme</w:t>
      </w:r>
    </w:p>
    <w:p>
      <w:pPr>
        <w:spacing w:after="120" w:line="276"/>
      </w:pPr>
      <w:r>
        <w:rPr>
          <w:rFonts w:ascii="Calibri" w:cs="Calibri" w:eastAsia="Calibri" w:hAnsi="Calibri"/>
          <w:color w:val="1B2A4A"/>
          <w:sz w:val="22"/>
          <w:szCs w:val="22"/>
        </w:rPr>
        <w:t xml:space="preserve">Dark inverts the roles of Navy and Ice: Navy becomes the panel surface, Ice becomes the text. Brick lightens to #E07A63 to hold contrast. Contrast is against the dark page background (#0F1728).</w:t>
      </w:r>
    </w:p>
    <w:tbl>
      <w:tblPr>
        <w:tblW w:type="dxa" w:w="9360"/>
        <w:tblBorders>
          <w:top w:val="single" w:color="DFE5EE" w:sz="4"/>
          <w:left w:val="none" w:sz="0"/>
          <w:bottom w:val="single" w:color="DFE5EE" w:sz="4"/>
          <w:right w:val="none" w:sz="0"/>
          <w:insideH w:val="single" w:color="DFE5EE" w:sz="4"/>
          <w:insideV w:val="none" w:sz="0"/>
        </w:tblBorders>
      </w:tblPr>
      <w:tblGrid>
        <w:gridCol w:w="2000"/>
        <w:gridCol w:w="1400"/>
        <w:gridCol w:w="3760"/>
        <w:gridCol w:w="2200"/>
      </w:tblGrid>
      <w:tr>
        <w:trPr>
          <w:tblHeader/>
        </w:trPr>
        <w:tc>
          <w:tcPr>
            <w:tcW w:type="dxa" w:w="20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Token</w:t>
            </w:r>
          </w:p>
        </w:tc>
        <w:tc>
          <w:tcPr>
            <w:tcW w:type="dxa" w:w="14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Hex</w:t>
            </w:r>
          </w:p>
        </w:tc>
        <w:tc>
          <w:tcPr>
            <w:tcW w:type="dxa" w:w="376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Use</w:t>
            </w:r>
          </w:p>
        </w:tc>
        <w:tc>
          <w:tcPr>
            <w:tcW w:type="dxa" w:w="22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Contrast</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--vx-bg</w:t>
            </w:r>
          </w:p>
        </w:tc>
        <w:tc>
          <w:tcPr>
            <w:tcW w:type="dxa" w:w="1400"/>
            <w:shd w:fill="0F1728"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#0F1728</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Page background</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--vx-surface</w:t>
            </w:r>
          </w:p>
        </w:tc>
        <w:tc>
          <w:tcPr>
            <w:tcW w:type="dxa" w:w="1400"/>
            <w:shd w:fill="1B2A4A"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#1B2A4A</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Stats, notes, table header</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--vx-surface-2</w:t>
            </w:r>
          </w:p>
        </w:tc>
        <w:tc>
          <w:tcPr>
            <w:tcW w:type="dxa" w:w="1400"/>
            <w:shd w:fill="16223A"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#16223A</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Zebra rows, disabled inputs</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--vx-header-bg</w:t>
            </w:r>
          </w:p>
        </w:tc>
        <w:tc>
          <w:tcPr>
            <w:tcW w:type="dxa" w:w="1400"/>
            <w:shd w:fill="0A1120"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#0A1120</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App header, sidebar</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--vx-text</w:t>
            </w:r>
          </w:p>
        </w:tc>
        <w:tc>
          <w:tcPr>
            <w:tcW w:type="dxa" w:w="1400"/>
            <w:shd w:fill="E7ECF3" w:color="auto" w:val="clear"/>
            <w:tcMar>
              <w:top w:type="dxa" w:w="60"/>
              <w:left w:type="dxa" w:w="90"/>
              <w:bottom w:type="dxa" w:w="60"/>
              <w:right w:type="dxa" w:w="90"/>
            </w:tcMar>
          </w:tcPr>
          <w:p>
            <w:pPr>
              <w:spacing w:after="0"/>
            </w:pPr>
            <w:r>
              <w:rPr>
                <w:rFonts w:ascii="Calibri" w:cs="Calibri" w:eastAsia="Calibri" w:hAnsi="Calibri"/>
                <w:color w:val="1B2A4A"/>
                <w:sz w:val="19"/>
                <w:szCs w:val="19"/>
              </w:rPr>
              <w:t xml:space="preserve">#E7ECF3</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Body text</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15.1:1 (12:1 on surface)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--vx-text-muted</w:t>
            </w:r>
          </w:p>
        </w:tc>
        <w:tc>
          <w:tcPr>
            <w:tcW w:type="dxa" w:w="1400"/>
            <w:shd w:fill="A8B3C7" w:color="auto" w:val="clear"/>
            <w:tcMar>
              <w:top w:type="dxa" w:w="60"/>
              <w:left w:type="dxa" w:w="90"/>
              <w:bottom w:type="dxa" w:w="60"/>
              <w:right w:type="dxa" w:w="90"/>
            </w:tcMar>
          </w:tcPr>
          <w:p>
            <w:pPr>
              <w:spacing w:after="0"/>
            </w:pPr>
            <w:r>
              <w:rPr>
                <w:rFonts w:ascii="Calibri" w:cs="Calibri" w:eastAsia="Calibri" w:hAnsi="Calibri"/>
                <w:color w:val="1B2A4A"/>
                <w:sz w:val="19"/>
                <w:szCs w:val="19"/>
              </w:rPr>
              <w:t xml:space="preserve">#A8B3C7</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Guidance, captions, labels</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8.5:1 (6.7:1 on surface)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--vx-accent</w:t>
            </w:r>
          </w:p>
        </w:tc>
        <w:tc>
          <w:tcPr>
            <w:tcW w:type="dxa" w:w="1400"/>
            <w:shd w:fill="E07A63" w:color="auto" w:val="clear"/>
            <w:tcMar>
              <w:top w:type="dxa" w:w="60"/>
              <w:left w:type="dxa" w:w="90"/>
              <w:bottom w:type="dxa" w:w="60"/>
              <w:right w:type="dxa" w:w="90"/>
            </w:tcMar>
          </w:tcPr>
          <w:p>
            <w:pPr>
              <w:spacing w:after="0"/>
            </w:pPr>
            <w:r>
              <w:rPr>
                <w:rFonts w:ascii="Calibri" w:cs="Calibri" w:eastAsia="Calibri" w:hAnsi="Calibri"/>
                <w:color w:val="1B2A4A"/>
                <w:sz w:val="19"/>
                <w:szCs w:val="19"/>
              </w:rPr>
              <w:t xml:space="preserve">#E07A63</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Brick accent, section headings, negative</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6.1:1 (4.8:1 on surface)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--vx-accent-strong</w:t>
            </w:r>
          </w:p>
        </w:tc>
        <w:tc>
          <w:tcPr>
            <w:tcW w:type="dxa" w:w="1400"/>
            <w:shd w:fill="F08F7A" w:color="auto" w:val="clear"/>
            <w:tcMar>
              <w:top w:type="dxa" w:w="60"/>
              <w:left w:type="dxa" w:w="90"/>
              <w:bottom w:type="dxa" w:w="60"/>
              <w:right w:type="dxa" w:w="90"/>
            </w:tcMar>
          </w:tcPr>
          <w:p>
            <w:pPr>
              <w:spacing w:after="0"/>
            </w:pPr>
            <w:r>
              <w:rPr>
                <w:rFonts w:ascii="Calibri" w:cs="Calibri" w:eastAsia="Calibri" w:hAnsi="Calibri"/>
                <w:color w:val="1B2A4A"/>
                <w:sz w:val="19"/>
                <w:szCs w:val="19"/>
              </w:rPr>
              <w:t xml:space="preserve">#F08F7A</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Small accent text</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--vx-border</w:t>
            </w:r>
          </w:p>
        </w:tc>
        <w:tc>
          <w:tcPr>
            <w:tcW w:type="dxa" w:w="1400"/>
            <w:shd w:fill="3A4A6B"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#3A4A6B</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Input and pill borders</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--vx-divider</w:t>
            </w:r>
          </w:p>
        </w:tc>
        <w:tc>
          <w:tcPr>
            <w:tcW w:type="dxa" w:w="1400"/>
            <w:shd w:fill="2C3B5C" w:color="auto" w:val="clear"/>
            <w:tcMar>
              <w:top w:type="dxa" w:w="60"/>
              <w:left w:type="dxa" w:w="90"/>
              <w:bottom w:type="dxa" w:w="60"/>
              <w:right w:type="dxa" w:w="90"/>
            </w:tcMar>
          </w:tcPr>
          <w:p>
            <w:pPr>
              <w:spacing w:after="0"/>
            </w:pPr>
            <w:r>
              <w:rPr>
                <w:rFonts w:ascii="Calibri" w:cs="Calibri" w:eastAsia="Calibri" w:hAnsi="Calibri"/>
                <w:color w:val="FFFFFF"/>
                <w:sz w:val="19"/>
                <w:szCs w:val="19"/>
              </w:rPr>
              <w:t xml:space="preserve">#2C3B5C</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List and table rules</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--vx-positive</w:t>
            </w:r>
          </w:p>
        </w:tc>
        <w:tc>
          <w:tcPr>
            <w:tcW w:type="dxa" w:w="1400"/>
            <w:shd w:fill="5BBF85" w:color="auto" w:val="clear"/>
            <w:tcMar>
              <w:top w:type="dxa" w:w="60"/>
              <w:left w:type="dxa" w:w="90"/>
              <w:bottom w:type="dxa" w:w="60"/>
              <w:right w:type="dxa" w:w="90"/>
            </w:tcMar>
          </w:tcPr>
          <w:p>
            <w:pPr>
              <w:spacing w:after="0"/>
            </w:pPr>
            <w:r>
              <w:rPr>
                <w:rFonts w:ascii="Calibri" w:cs="Calibri" w:eastAsia="Calibri" w:hAnsi="Calibri"/>
                <w:color w:val="1B2A4A"/>
                <w:sz w:val="19"/>
                <w:szCs w:val="19"/>
              </w:rPr>
              <w:t xml:space="preserve">#5BBF85</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Proceed / satisfied</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7.9:1</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--vx-caution</w:t>
            </w:r>
          </w:p>
        </w:tc>
        <w:tc>
          <w:tcPr>
            <w:tcW w:type="dxa" w:w="1400"/>
            <w:shd w:fill="E0B23A" w:color="auto" w:val="clear"/>
            <w:tcMar>
              <w:top w:type="dxa" w:w="60"/>
              <w:left w:type="dxa" w:w="90"/>
              <w:bottom w:type="dxa" w:w="60"/>
              <w:right w:type="dxa" w:w="90"/>
            </w:tcMar>
          </w:tcPr>
          <w:p>
            <w:pPr>
              <w:spacing w:after="0"/>
            </w:pPr>
            <w:r>
              <w:rPr>
                <w:rFonts w:ascii="Calibri" w:cs="Calibri" w:eastAsia="Calibri" w:hAnsi="Calibri"/>
                <w:color w:val="1B2A4A"/>
                <w:sz w:val="19"/>
                <w:szCs w:val="19"/>
              </w:rPr>
              <w:t xml:space="preserve">#E0B23A</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Negotiate / unvalidated</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9.0:1</w:t>
            </w:r>
          </w:p>
        </w:tc>
      </w:tr>
      <w:tr>
        <w:tc>
          <w:tcPr>
            <w:tcW w:type="dxa" w:w="2000"/>
            <w:tcMar>
              <w:top w:type="dxa" w:w="60"/>
              <w:left w:type="dxa" w:w="90"/>
              <w:bottom w:type="dxa" w:w="60"/>
              <w:right w:type="dxa" w:w="90"/>
            </w:tcMar>
          </w:tcPr>
          <w:p>
            <w:pPr>
              <w:spacing w:after="0"/>
            </w:pPr>
            <w:r>
              <w:rPr>
                <w:rFonts w:ascii="Calibri" w:cs="Calibri" w:eastAsia="Calibri" w:hAnsi="Calibri"/>
                <w:color w:val="1B2A4A"/>
                <w:sz w:val="19"/>
                <w:szCs w:val="19"/>
              </w:rPr>
              <w:t xml:space="preserve">--vx-negative</w:t>
            </w:r>
          </w:p>
        </w:tc>
        <w:tc>
          <w:tcPr>
            <w:tcW w:type="dxa" w:w="1400"/>
            <w:shd w:fill="E07A63" w:color="auto" w:val="clear"/>
            <w:tcMar>
              <w:top w:type="dxa" w:w="60"/>
              <w:left w:type="dxa" w:w="90"/>
              <w:bottom w:type="dxa" w:w="60"/>
              <w:right w:type="dxa" w:w="90"/>
            </w:tcMar>
          </w:tcPr>
          <w:p>
            <w:pPr>
              <w:spacing w:after="0"/>
            </w:pPr>
            <w:r>
              <w:rPr>
                <w:rFonts w:ascii="Calibri" w:cs="Calibri" w:eastAsia="Calibri" w:hAnsi="Calibri"/>
                <w:color w:val="1B2A4A"/>
                <w:sz w:val="19"/>
                <w:szCs w:val="19"/>
              </w:rPr>
              <w:t xml:space="preserve">#E07A63</w:t>
            </w:r>
          </w:p>
        </w:tc>
        <w:tc>
          <w:tcPr>
            <w:tcW w:type="dxa" w:w="3760"/>
            <w:tcMar>
              <w:top w:type="dxa" w:w="60"/>
              <w:left w:type="dxa" w:w="90"/>
              <w:bottom w:type="dxa" w:w="60"/>
              <w:right w:type="dxa" w:w="90"/>
            </w:tcMar>
          </w:tcPr>
          <w:p>
            <w:pPr>
              <w:spacing w:after="0"/>
            </w:pPr>
            <w:r>
              <w:rPr>
                <w:rFonts w:ascii="Calibri" w:cs="Calibri" w:eastAsia="Calibri" w:hAnsi="Calibri"/>
                <w:color w:val="1B2A4A"/>
                <w:sz w:val="19"/>
                <w:szCs w:val="19"/>
              </w:rPr>
              <w:t xml:space="preserve">Walk away / needs action</w:t>
            </w:r>
          </w:p>
        </w:tc>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6.1:1</w:t>
            </w:r>
          </w:p>
        </w:tc>
      </w:tr>
    </w:tbl>
    <w:p>
      <w:pPr>
        <w:spacing w:after="120"/>
      </w:pPr>
    </w:p>
    <w:p>
      <w:pPr>
        <w:pStyle w:val="Heading2"/>
        <w:spacing w:after="100" w:before="240"/>
      </w:pPr>
      <w:r>
        <w:rPr>
          <w:rFonts w:ascii="Cambria" w:cs="Cambria" w:eastAsia="Cambria" w:hAnsi="Cambria"/>
          <w:color w:val="C1533C"/>
          <w:sz w:val="28"/>
          <w:szCs w:val="28"/>
        </w:rPr>
        <w:t xml:space="preserve">Theme switching</w:t>
      </w:r>
    </w:p>
    <w:p>
      <w:pPr>
        <w:spacing w:after="120" w:line="276"/>
      </w:pPr>
      <w:r>
        <w:rPr>
          <w:rFonts w:ascii="Calibri" w:cs="Calibri" w:eastAsia="Calibri" w:hAnsi="Calibri"/>
          <w:color w:val="1B2A4A"/>
          <w:sz w:val="22"/>
          <w:szCs w:val="22"/>
        </w:rPr>
        <w:t xml:space="preserve">Theme is set with a data-theme attribute on the html element: light (default), dark, or auto (follows the operating system). Because every component reads semantic tokens, no component code changes between themes and no Tailwind dark: variants are needed. Primary buttons in dark are Ice on Navy; segmented selections in dark use the accent instead of Navy so they remain visible against the Navy surface.</w:t>
      </w:r>
    </w:p>
    <w:p>
      <w:pPr>
        <w:pStyle w:val="Heading1"/>
        <w:spacing w:after="160" w:before="360"/>
      </w:pPr>
      <w:r>
        <w:rPr>
          <w:rFonts w:ascii="Cambria" w:cs="Cambria" w:eastAsia="Cambria" w:hAnsi="Cambria"/>
          <w:color w:val="1B2A4A"/>
          <w:sz w:val="36"/>
          <w:szCs w:val="36"/>
        </w:rPr>
        <w:t xml:space="preserve">4. Typography</w:t>
      </w:r>
    </w:p>
    <w:p>
      <w:pPr>
        <w:spacing w:after="120" w:line="276"/>
      </w:pPr>
      <w:r>
        <w:rPr>
          <w:rFonts w:ascii="Calibri" w:cs="Calibri" w:eastAsia="Calibri" w:hAnsi="Calibri"/>
          <w:color w:val="1B2A4A"/>
          <w:sz w:val="22"/>
          <w:szCs w:val="22"/>
        </w:rPr>
        <w:t xml:space="preserve">Cambria carries identity (headings, display numbers, stat values); Calibri carries content. Fallbacks: Cambria → Hoefler Text → Georgia; Calibri → Segoe UI → system sans.</w:t>
      </w:r>
    </w:p>
    <w:tbl>
      <w:tblPr>
        <w:tblW w:type="dxa" w:w="9360"/>
        <w:tblBorders>
          <w:top w:val="single" w:color="DFE5EE" w:sz="4"/>
          <w:left w:val="none" w:sz="0"/>
          <w:bottom w:val="single" w:color="DFE5EE" w:sz="4"/>
          <w:right w:val="none" w:sz="0"/>
          <w:insideH w:val="single" w:color="DFE5EE" w:sz="4"/>
          <w:insideV w:val="none" w:sz="0"/>
        </w:tblBorders>
      </w:tblPr>
      <w:tblGrid>
        <w:gridCol w:w="1200"/>
        <w:gridCol w:w="1900"/>
        <w:gridCol w:w="2400"/>
        <w:gridCol w:w="3860"/>
      </w:tblGrid>
      <w:tr>
        <w:trPr>
          <w:tblHeader/>
        </w:trPr>
        <w:tc>
          <w:tcPr>
            <w:tcW w:type="dxa" w:w="12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Token</w:t>
            </w:r>
          </w:p>
        </w:tc>
        <w:tc>
          <w:tcPr>
            <w:tcW w:type="dxa" w:w="19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Size / leading</w:t>
            </w:r>
          </w:p>
        </w:tc>
        <w:tc>
          <w:tcPr>
            <w:tcW w:type="dxa" w:w="24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Face</w:t>
            </w:r>
          </w:p>
        </w:tc>
        <w:tc>
          <w:tcPr>
            <w:tcW w:type="dxa" w:w="386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Use</w:t>
            </w:r>
          </w:p>
        </w:tc>
      </w:tr>
      <w:tr>
        <w:tc>
          <w:tcPr>
            <w:tcW w:type="dxa" w:w="1200"/>
            <w:tcMar>
              <w:top w:type="dxa" w:w="60"/>
              <w:left w:type="dxa" w:w="90"/>
              <w:bottom w:type="dxa" w:w="60"/>
              <w:right w:type="dxa" w:w="90"/>
            </w:tcMar>
          </w:tcPr>
          <w:p>
            <w:pPr>
              <w:spacing w:after="0"/>
            </w:pPr>
            <w:r>
              <w:rPr>
                <w:rFonts w:ascii="Calibri" w:cs="Calibri" w:eastAsia="Calibri" w:hAnsi="Calibri"/>
                <w:color w:val="1B2A4A"/>
                <w:sz w:val="19"/>
                <w:szCs w:val="19"/>
              </w:rPr>
              <w:t xml:space="preserve">3xl</w:t>
            </w:r>
          </w:p>
        </w:tc>
        <w:tc>
          <w:tcPr>
            <w:tcW w:type="dxa" w:w="1900"/>
            <w:tcMar>
              <w:top w:type="dxa" w:w="60"/>
              <w:left w:type="dxa" w:w="90"/>
              <w:bottom w:type="dxa" w:w="60"/>
              <w:right w:type="dxa" w:w="90"/>
            </w:tcMar>
          </w:tcPr>
          <w:p>
            <w:pPr>
              <w:spacing w:after="0"/>
            </w:pPr>
            <w:r>
              <w:rPr>
                <w:rFonts w:ascii="Calibri" w:cs="Calibri" w:eastAsia="Calibri" w:hAnsi="Calibri"/>
                <w:color w:val="1B2A4A"/>
                <w:sz w:val="19"/>
                <w:szCs w:val="19"/>
              </w:rPr>
              <w:t xml:space="preserve">26 px / 1.0</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Cambria</w:t>
            </w:r>
          </w:p>
        </w:tc>
        <w:tc>
          <w:tcPr>
            <w:tcW w:type="dxa" w:w="3860"/>
            <w:tcMar>
              <w:top w:type="dxa" w:w="60"/>
              <w:left w:type="dxa" w:w="90"/>
              <w:bottom w:type="dxa" w:w="60"/>
              <w:right w:type="dxa" w:w="90"/>
            </w:tcMar>
          </w:tcPr>
          <w:p>
            <w:pPr>
              <w:spacing w:after="0"/>
            </w:pPr>
            <w:r>
              <w:rPr>
                <w:rFonts w:ascii="Calibri" w:cs="Calibri" w:eastAsia="Calibri" w:hAnsi="Calibri"/>
                <w:color w:val="1B2A4A"/>
                <w:sz w:val="19"/>
                <w:szCs w:val="19"/>
              </w:rPr>
              <w:t xml:space="preserve">Live bar number</w:t>
            </w:r>
          </w:p>
        </w:tc>
      </w:tr>
      <w:tr>
        <w:tc>
          <w:tcPr>
            <w:tcW w:type="dxa" w:w="1200"/>
            <w:tcMar>
              <w:top w:type="dxa" w:w="60"/>
              <w:left w:type="dxa" w:w="90"/>
              <w:bottom w:type="dxa" w:w="60"/>
              <w:right w:type="dxa" w:w="90"/>
            </w:tcMar>
          </w:tcPr>
          <w:p>
            <w:pPr>
              <w:spacing w:after="0"/>
            </w:pPr>
            <w:r>
              <w:rPr>
                <w:rFonts w:ascii="Calibri" w:cs="Calibri" w:eastAsia="Calibri" w:hAnsi="Calibri"/>
                <w:color w:val="1B2A4A"/>
                <w:sz w:val="19"/>
                <w:szCs w:val="19"/>
              </w:rPr>
              <w:t xml:space="preserve">2xl</w:t>
            </w:r>
          </w:p>
        </w:tc>
        <w:tc>
          <w:tcPr>
            <w:tcW w:type="dxa" w:w="1900"/>
            <w:tcMar>
              <w:top w:type="dxa" w:w="60"/>
              <w:left w:type="dxa" w:w="90"/>
              <w:bottom w:type="dxa" w:w="60"/>
              <w:right w:type="dxa" w:w="90"/>
            </w:tcMar>
          </w:tcPr>
          <w:p>
            <w:pPr>
              <w:spacing w:after="0"/>
            </w:pPr>
            <w:r>
              <w:rPr>
                <w:rFonts w:ascii="Calibri" w:cs="Calibri" w:eastAsia="Calibri" w:hAnsi="Calibri"/>
                <w:color w:val="1B2A4A"/>
                <w:sz w:val="19"/>
                <w:szCs w:val="19"/>
              </w:rPr>
              <w:t xml:space="preserve">24 px / 1.1</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Cambria</w:t>
            </w:r>
          </w:p>
        </w:tc>
        <w:tc>
          <w:tcPr>
            <w:tcW w:type="dxa" w:w="3860"/>
            <w:tcMar>
              <w:top w:type="dxa" w:w="60"/>
              <w:left w:type="dxa" w:w="90"/>
              <w:bottom w:type="dxa" w:w="60"/>
              <w:right w:type="dxa" w:w="90"/>
            </w:tcMar>
          </w:tcPr>
          <w:p>
            <w:pPr>
              <w:spacing w:after="0"/>
            </w:pPr>
            <w:r>
              <w:rPr>
                <w:rFonts w:ascii="Calibri" w:cs="Calibri" w:eastAsia="Calibri" w:hAnsi="Calibri"/>
                <w:color w:val="1B2A4A"/>
                <w:sz w:val="19"/>
                <w:szCs w:val="19"/>
              </w:rPr>
              <w:t xml:space="preserve">Report title, headline stat</w:t>
            </w:r>
          </w:p>
        </w:tc>
      </w:tr>
      <w:tr>
        <w:tc>
          <w:tcPr>
            <w:tcW w:type="dxa" w:w="1200"/>
            <w:tcMar>
              <w:top w:type="dxa" w:w="60"/>
              <w:left w:type="dxa" w:w="90"/>
              <w:bottom w:type="dxa" w:w="60"/>
              <w:right w:type="dxa" w:w="90"/>
            </w:tcMar>
          </w:tcPr>
          <w:p>
            <w:pPr>
              <w:spacing w:after="0"/>
            </w:pPr>
            <w:r>
              <w:rPr>
                <w:rFonts w:ascii="Calibri" w:cs="Calibri" w:eastAsia="Calibri" w:hAnsi="Calibri"/>
                <w:color w:val="1B2A4A"/>
                <w:sz w:val="19"/>
                <w:szCs w:val="19"/>
              </w:rPr>
              <w:t xml:space="preserve">xl</w:t>
            </w:r>
          </w:p>
        </w:tc>
        <w:tc>
          <w:tcPr>
            <w:tcW w:type="dxa" w:w="1900"/>
            <w:tcMar>
              <w:top w:type="dxa" w:w="60"/>
              <w:left w:type="dxa" w:w="90"/>
              <w:bottom w:type="dxa" w:w="60"/>
              <w:right w:type="dxa" w:w="90"/>
            </w:tcMar>
          </w:tcPr>
          <w:p>
            <w:pPr>
              <w:spacing w:after="0"/>
            </w:pPr>
            <w:r>
              <w:rPr>
                <w:rFonts w:ascii="Calibri" w:cs="Calibri" w:eastAsia="Calibri" w:hAnsi="Calibri"/>
                <w:color w:val="1B2A4A"/>
                <w:sz w:val="19"/>
                <w:szCs w:val="19"/>
              </w:rPr>
              <w:t xml:space="preserve">20 px / 1.15</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Cambria</w:t>
            </w:r>
          </w:p>
        </w:tc>
        <w:tc>
          <w:tcPr>
            <w:tcW w:type="dxa" w:w="3860"/>
            <w:tcMar>
              <w:top w:type="dxa" w:w="60"/>
              <w:left w:type="dxa" w:w="90"/>
              <w:bottom w:type="dxa" w:w="60"/>
              <w:right w:type="dxa" w:w="90"/>
            </w:tcMar>
          </w:tcPr>
          <w:p>
            <w:pPr>
              <w:spacing w:after="0"/>
            </w:pPr>
            <w:r>
              <w:rPr>
                <w:rFonts w:ascii="Calibri" w:cs="Calibri" w:eastAsia="Calibri" w:hAnsi="Calibri"/>
                <w:color w:val="1B2A4A"/>
                <w:sz w:val="19"/>
                <w:szCs w:val="19"/>
              </w:rPr>
              <w:t xml:space="preserve">Page heading (h2)</w:t>
            </w:r>
          </w:p>
        </w:tc>
      </w:tr>
      <w:tr>
        <w:tc>
          <w:tcPr>
            <w:tcW w:type="dxa" w:w="1200"/>
            <w:tcMar>
              <w:top w:type="dxa" w:w="60"/>
              <w:left w:type="dxa" w:w="90"/>
              <w:bottom w:type="dxa" w:w="60"/>
              <w:right w:type="dxa" w:w="90"/>
            </w:tcMar>
          </w:tcPr>
          <w:p>
            <w:pPr>
              <w:spacing w:after="0"/>
            </w:pPr>
            <w:r>
              <w:rPr>
                <w:rFonts w:ascii="Calibri" w:cs="Calibri" w:eastAsia="Calibri" w:hAnsi="Calibri"/>
                <w:color w:val="1B2A4A"/>
                <w:sz w:val="19"/>
                <w:szCs w:val="19"/>
              </w:rPr>
              <w:t xml:space="preserve">lg</w:t>
            </w:r>
          </w:p>
        </w:tc>
        <w:tc>
          <w:tcPr>
            <w:tcW w:type="dxa" w:w="1900"/>
            <w:tcMar>
              <w:top w:type="dxa" w:w="60"/>
              <w:left w:type="dxa" w:w="90"/>
              <w:bottom w:type="dxa" w:w="60"/>
              <w:right w:type="dxa" w:w="90"/>
            </w:tcMar>
          </w:tcPr>
          <w:p>
            <w:pPr>
              <w:spacing w:after="0"/>
            </w:pPr>
            <w:r>
              <w:rPr>
                <w:rFonts w:ascii="Calibri" w:cs="Calibri" w:eastAsia="Calibri" w:hAnsi="Calibri"/>
                <w:color w:val="1B2A4A"/>
                <w:sz w:val="19"/>
                <w:szCs w:val="19"/>
              </w:rPr>
              <w:t xml:space="preserve">17 px / 1.2</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Cambria, accent colour</w:t>
            </w:r>
          </w:p>
        </w:tc>
        <w:tc>
          <w:tcPr>
            <w:tcW w:type="dxa" w:w="3860"/>
            <w:tcMar>
              <w:top w:type="dxa" w:w="60"/>
              <w:left w:type="dxa" w:w="90"/>
              <w:bottom w:type="dxa" w:w="60"/>
              <w:right w:type="dxa" w:w="90"/>
            </w:tcMar>
          </w:tcPr>
          <w:p>
            <w:pPr>
              <w:spacing w:after="0"/>
            </w:pPr>
            <w:r>
              <w:rPr>
                <w:rFonts w:ascii="Calibri" w:cs="Calibri" w:eastAsia="Calibri" w:hAnsi="Calibri"/>
                <w:color w:val="1B2A4A"/>
                <w:sz w:val="19"/>
                <w:szCs w:val="19"/>
              </w:rPr>
              <w:t xml:space="preserve">Section heading (h3)</w:t>
            </w:r>
          </w:p>
        </w:tc>
      </w:tr>
      <w:tr>
        <w:tc>
          <w:tcPr>
            <w:tcW w:type="dxa" w:w="1200"/>
            <w:tcMar>
              <w:top w:type="dxa" w:w="60"/>
              <w:left w:type="dxa" w:w="90"/>
              <w:bottom w:type="dxa" w:w="60"/>
              <w:right w:type="dxa" w:w="90"/>
            </w:tcMar>
          </w:tcPr>
          <w:p>
            <w:pPr>
              <w:spacing w:after="0"/>
            </w:pPr>
            <w:r>
              <w:rPr>
                <w:rFonts w:ascii="Calibri" w:cs="Calibri" w:eastAsia="Calibri" w:hAnsi="Calibri"/>
                <w:color w:val="1B2A4A"/>
                <w:sz w:val="19"/>
                <w:szCs w:val="19"/>
              </w:rPr>
              <w:t xml:space="preserve">base</w:t>
            </w:r>
          </w:p>
        </w:tc>
        <w:tc>
          <w:tcPr>
            <w:tcW w:type="dxa" w:w="1900"/>
            <w:tcMar>
              <w:top w:type="dxa" w:w="60"/>
              <w:left w:type="dxa" w:w="90"/>
              <w:bottom w:type="dxa" w:w="60"/>
              <w:right w:type="dxa" w:w="90"/>
            </w:tcMar>
          </w:tcPr>
          <w:p>
            <w:pPr>
              <w:spacing w:after="0"/>
            </w:pPr>
            <w:r>
              <w:rPr>
                <w:rFonts w:ascii="Calibri" w:cs="Calibri" w:eastAsia="Calibri" w:hAnsi="Calibri"/>
                <w:color w:val="1B2A4A"/>
                <w:sz w:val="19"/>
                <w:szCs w:val="19"/>
              </w:rPr>
              <w:t xml:space="preserve">16 px / 1.45</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Calibri</w:t>
            </w:r>
          </w:p>
        </w:tc>
        <w:tc>
          <w:tcPr>
            <w:tcW w:type="dxa" w:w="3860"/>
            <w:tcMar>
              <w:top w:type="dxa" w:w="60"/>
              <w:left w:type="dxa" w:w="90"/>
              <w:bottom w:type="dxa" w:w="60"/>
              <w:right w:type="dxa" w:w="90"/>
            </w:tcMar>
          </w:tcPr>
          <w:p>
            <w:pPr>
              <w:spacing w:after="0"/>
            </w:pPr>
            <w:r>
              <w:rPr>
                <w:rFonts w:ascii="Calibri" w:cs="Calibri" w:eastAsia="Calibri" w:hAnsi="Calibri"/>
                <w:color w:val="1B2A4A"/>
                <w:sz w:val="19"/>
                <w:szCs w:val="19"/>
              </w:rPr>
              <w:t xml:space="preserve">Body, item titles (bold)</w:t>
            </w:r>
          </w:p>
        </w:tc>
      </w:tr>
      <w:tr>
        <w:tc>
          <w:tcPr>
            <w:tcW w:type="dxa" w:w="1200"/>
            <w:tcMar>
              <w:top w:type="dxa" w:w="60"/>
              <w:left w:type="dxa" w:w="90"/>
              <w:bottom w:type="dxa" w:w="60"/>
              <w:right w:type="dxa" w:w="90"/>
            </w:tcMar>
          </w:tcPr>
          <w:p>
            <w:pPr>
              <w:spacing w:after="0"/>
            </w:pPr>
            <w:r>
              <w:rPr>
                <w:rFonts w:ascii="Calibri" w:cs="Calibri" w:eastAsia="Calibri" w:hAnsi="Calibri"/>
                <w:color w:val="1B2A4A"/>
                <w:sz w:val="19"/>
                <w:szCs w:val="19"/>
              </w:rPr>
              <w:t xml:space="preserve">md</w:t>
            </w:r>
          </w:p>
        </w:tc>
        <w:tc>
          <w:tcPr>
            <w:tcW w:type="dxa" w:w="1900"/>
            <w:tcMar>
              <w:top w:type="dxa" w:w="60"/>
              <w:left w:type="dxa" w:w="90"/>
              <w:bottom w:type="dxa" w:w="60"/>
              <w:right w:type="dxa" w:w="90"/>
            </w:tcMar>
          </w:tcPr>
          <w:p>
            <w:pPr>
              <w:spacing w:after="0"/>
            </w:pPr>
            <w:r>
              <w:rPr>
                <w:rFonts w:ascii="Calibri" w:cs="Calibri" w:eastAsia="Calibri" w:hAnsi="Calibri"/>
                <w:color w:val="1B2A4A"/>
                <w:sz w:val="19"/>
                <w:szCs w:val="19"/>
              </w:rPr>
              <w:t xml:space="preserve">14 px / 1.45</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Calibri</w:t>
            </w:r>
          </w:p>
        </w:tc>
        <w:tc>
          <w:tcPr>
            <w:tcW w:type="dxa" w:w="3860"/>
            <w:tcMar>
              <w:top w:type="dxa" w:w="60"/>
              <w:left w:type="dxa" w:w="90"/>
              <w:bottom w:type="dxa" w:w="60"/>
              <w:right w:type="dxa" w:w="90"/>
            </w:tcMar>
          </w:tcPr>
          <w:p>
            <w:pPr>
              <w:spacing w:after="0"/>
            </w:pPr>
            <w:r>
              <w:rPr>
                <w:rFonts w:ascii="Calibri" w:cs="Calibri" w:eastAsia="Calibri" w:hAnsi="Calibri"/>
                <w:color w:val="1B2A4A"/>
                <w:sz w:val="19"/>
                <w:szCs w:val="19"/>
              </w:rPr>
              <w:t xml:space="preserve">Labels, guidance, table body, pills</w:t>
            </w:r>
          </w:p>
        </w:tc>
      </w:tr>
      <w:tr>
        <w:tc>
          <w:tcPr>
            <w:tcW w:type="dxa" w:w="1200"/>
            <w:tcMar>
              <w:top w:type="dxa" w:w="60"/>
              <w:left w:type="dxa" w:w="90"/>
              <w:bottom w:type="dxa" w:w="60"/>
              <w:right w:type="dxa" w:w="90"/>
            </w:tcMar>
          </w:tcPr>
          <w:p>
            <w:pPr>
              <w:spacing w:after="0"/>
            </w:pPr>
            <w:r>
              <w:rPr>
                <w:rFonts w:ascii="Calibri" w:cs="Calibri" w:eastAsia="Calibri" w:hAnsi="Calibri"/>
                <w:color w:val="1B2A4A"/>
                <w:sz w:val="19"/>
                <w:szCs w:val="19"/>
              </w:rPr>
              <w:t xml:space="preserve">sm</w:t>
            </w:r>
          </w:p>
        </w:tc>
        <w:tc>
          <w:tcPr>
            <w:tcW w:type="dxa" w:w="1900"/>
            <w:tcMar>
              <w:top w:type="dxa" w:w="60"/>
              <w:left w:type="dxa" w:w="90"/>
              <w:bottom w:type="dxa" w:w="60"/>
              <w:right w:type="dxa" w:w="90"/>
            </w:tcMar>
          </w:tcPr>
          <w:p>
            <w:pPr>
              <w:spacing w:after="0"/>
            </w:pPr>
            <w:r>
              <w:rPr>
                <w:rFonts w:ascii="Calibri" w:cs="Calibri" w:eastAsia="Calibri" w:hAnsi="Calibri"/>
                <w:color w:val="1B2A4A"/>
                <w:sz w:val="19"/>
                <w:szCs w:val="19"/>
              </w:rPr>
              <w:t xml:space="preserve">13 px / 1.4</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Calibri</w:t>
            </w:r>
          </w:p>
        </w:tc>
        <w:tc>
          <w:tcPr>
            <w:tcW w:type="dxa" w:w="3860"/>
            <w:tcMar>
              <w:top w:type="dxa" w:w="60"/>
              <w:left w:type="dxa" w:w="90"/>
              <w:bottom w:type="dxa" w:w="60"/>
              <w:right w:type="dxa" w:w="90"/>
            </w:tcMar>
          </w:tcPr>
          <w:p>
            <w:pPr>
              <w:spacing w:after="0"/>
            </w:pPr>
            <w:r>
              <w:rPr>
                <w:rFonts w:ascii="Calibri" w:cs="Calibri" w:eastAsia="Calibri" w:hAnsi="Calibri"/>
                <w:color w:val="1B2A4A"/>
                <w:sz w:val="19"/>
                <w:szCs w:val="19"/>
              </w:rPr>
              <w:t xml:space="preserve">Notes, stat labels, status</w:t>
            </w:r>
          </w:p>
        </w:tc>
      </w:tr>
      <w:tr>
        <w:tc>
          <w:tcPr>
            <w:tcW w:type="dxa" w:w="1200"/>
            <w:tcMar>
              <w:top w:type="dxa" w:w="60"/>
              <w:left w:type="dxa" w:w="90"/>
              <w:bottom w:type="dxa" w:w="60"/>
              <w:right w:type="dxa" w:w="90"/>
            </w:tcMar>
          </w:tcPr>
          <w:p>
            <w:pPr>
              <w:spacing w:after="0"/>
            </w:pPr>
            <w:r>
              <w:rPr>
                <w:rFonts w:ascii="Calibri" w:cs="Calibri" w:eastAsia="Calibri" w:hAnsi="Calibri"/>
                <w:color w:val="1B2A4A"/>
                <w:sz w:val="19"/>
                <w:szCs w:val="19"/>
              </w:rPr>
              <w:t xml:space="preserve">xs</w:t>
            </w:r>
          </w:p>
        </w:tc>
        <w:tc>
          <w:tcPr>
            <w:tcW w:type="dxa" w:w="1900"/>
            <w:tcMar>
              <w:top w:type="dxa" w:w="60"/>
              <w:left w:type="dxa" w:w="90"/>
              <w:bottom w:type="dxa" w:w="60"/>
              <w:right w:type="dxa" w:w="90"/>
            </w:tcMar>
          </w:tcPr>
          <w:p>
            <w:pPr>
              <w:spacing w:after="0"/>
            </w:pPr>
            <w:r>
              <w:rPr>
                <w:rFonts w:ascii="Calibri" w:cs="Calibri" w:eastAsia="Calibri" w:hAnsi="Calibri"/>
                <w:color w:val="1B2A4A"/>
                <w:sz w:val="19"/>
                <w:szCs w:val="19"/>
              </w:rPr>
              <w:t xml:space="preserve">12 px / 1.4</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Calibri</w:t>
            </w:r>
          </w:p>
        </w:tc>
        <w:tc>
          <w:tcPr>
            <w:tcW w:type="dxa" w:w="3860"/>
            <w:tcMar>
              <w:top w:type="dxa" w:w="60"/>
              <w:left w:type="dxa" w:w="90"/>
              <w:bottom w:type="dxa" w:w="60"/>
              <w:right w:type="dxa" w:w="90"/>
            </w:tcMar>
          </w:tcPr>
          <w:p>
            <w:pPr>
              <w:spacing w:after="0"/>
            </w:pPr>
            <w:r>
              <w:rPr>
                <w:rFonts w:ascii="Calibri" w:cs="Calibri" w:eastAsia="Calibri" w:hAnsi="Calibri"/>
                <w:color w:val="1B2A4A"/>
                <w:sz w:val="19"/>
                <w:szCs w:val="19"/>
              </w:rPr>
              <w:t xml:space="preserve">Captions, table meta, live bar labels</w:t>
            </w:r>
          </w:p>
        </w:tc>
      </w:tr>
    </w:tbl>
    <w:p>
      <w:pPr>
        <w:spacing w:after="120"/>
      </w:pPr>
    </w:p>
    <w:p>
      <w:pPr>
        <w:pStyle w:val="ListParagraph"/>
        <w:numPr>
          <w:ilvl w:val="0"/>
          <w:numId w:val="2"/>
        </w:numPr>
        <w:spacing w:after="60"/>
      </w:pPr>
      <w:r>
        <w:rPr>
          <w:rFonts w:ascii="Calibri" w:cs="Calibri" w:eastAsia="Calibri" w:hAnsi="Calibri"/>
          <w:color w:val="1B2A4A"/>
          <w:sz w:val="22"/>
          <w:szCs w:val="22"/>
        </w:rPr>
        <w:t xml:space="preserve">Line length: under 80 characters; content column is capped at 820 px.</w:t>
      </w:r>
    </w:p>
    <w:p>
      <w:pPr>
        <w:pStyle w:val="ListParagraph"/>
        <w:numPr>
          <w:ilvl w:val="0"/>
          <w:numId w:val="2"/>
        </w:numPr>
        <w:spacing w:after="60"/>
      </w:pPr>
      <w:r>
        <w:rPr>
          <w:rFonts w:ascii="Calibri" w:cs="Calibri" w:eastAsia="Calibri" w:hAnsi="Calibri"/>
          <w:color w:val="1B2A4A"/>
          <w:sz w:val="22"/>
          <w:szCs w:val="22"/>
        </w:rPr>
        <w:t xml:space="preserve">Numbers in tables use tabular figures and are right-aligned.</w:t>
      </w:r>
    </w:p>
    <w:p>
      <w:pPr>
        <w:pStyle w:val="ListParagraph"/>
        <w:numPr>
          <w:ilvl w:val="0"/>
          <w:numId w:val="2"/>
        </w:numPr>
        <w:spacing w:after="60"/>
      </w:pPr>
      <w:r>
        <w:rPr>
          <w:rFonts w:ascii="Calibri" w:cs="Calibri" w:eastAsia="Calibri" w:hAnsi="Calibri"/>
          <w:color w:val="1B2A4A"/>
          <w:sz w:val="22"/>
          <w:szCs w:val="22"/>
        </w:rPr>
        <w:t xml:space="preserve">Currency is always £ with thousands separators and no pence unless the figure is a rate.</w:t>
      </w:r>
    </w:p>
    <w:p>
      <w:pPr>
        <w:pStyle w:val="ListParagraph"/>
        <w:numPr>
          <w:ilvl w:val="0"/>
          <w:numId w:val="2"/>
        </w:numPr>
        <w:spacing w:after="60"/>
      </w:pPr>
      <w:r>
        <w:rPr>
          <w:rFonts w:ascii="Calibri" w:cs="Calibri" w:eastAsia="Calibri" w:hAnsi="Calibri"/>
          <w:color w:val="1B2A4A"/>
          <w:sz w:val="22"/>
          <w:szCs w:val="22"/>
        </w:rPr>
        <w:t xml:space="preserve">Item titles are Calibri bold 16; they are the only place bold is used for hierarchy.</w:t>
      </w:r>
    </w:p>
    <w:p>
      <w:pPr>
        <w:pStyle w:val="Heading1"/>
        <w:spacing w:after="160" w:before="360"/>
      </w:pPr>
      <w:r>
        <w:rPr>
          <w:rFonts w:ascii="Cambria" w:cs="Cambria" w:eastAsia="Cambria" w:hAnsi="Cambria"/>
          <w:color w:val="1B2A4A"/>
          <w:sz w:val="36"/>
          <w:szCs w:val="36"/>
        </w:rPr>
        <w:t xml:space="preserve">5. Spacing, shape and motion</w:t>
      </w:r>
    </w:p>
    <w:tbl>
      <w:tblPr>
        <w:tblW w:type="dxa" w:w="9360"/>
        <w:tblBorders>
          <w:top w:val="single" w:color="DFE5EE" w:sz="4"/>
          <w:left w:val="none" w:sz="0"/>
          <w:bottom w:val="single" w:color="DFE5EE" w:sz="4"/>
          <w:right w:val="none" w:sz="0"/>
          <w:insideH w:val="single" w:color="DFE5EE" w:sz="4"/>
          <w:insideV w:val="none" w:sz="0"/>
        </w:tblBorders>
      </w:tblPr>
      <w:tblGrid>
        <w:gridCol w:w="2400"/>
        <w:gridCol w:w="2800"/>
        <w:gridCol w:w="4160"/>
      </w:tblGrid>
      <w:tr>
        <w:trPr>
          <w:tblHeader/>
        </w:trPr>
        <w:tc>
          <w:tcPr>
            <w:tcW w:type="dxa" w:w="24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Token</w:t>
            </w:r>
          </w:p>
        </w:tc>
        <w:tc>
          <w:tcPr>
            <w:tcW w:type="dxa" w:w="28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Value</w:t>
            </w:r>
          </w:p>
        </w:tc>
        <w:tc>
          <w:tcPr>
            <w:tcW w:type="dxa" w:w="416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Use</w:t>
            </w:r>
          </w:p>
        </w:tc>
      </w:tr>
      <w:tr>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space-1 … space-12</w:t>
            </w:r>
          </w:p>
        </w:tc>
        <w:tc>
          <w:tcPr>
            <w:tcW w:type="dxa" w:w="2800"/>
            <w:tcMar>
              <w:top w:type="dxa" w:w="60"/>
              <w:left w:type="dxa" w:w="90"/>
              <w:bottom w:type="dxa" w:w="60"/>
              <w:right w:type="dxa" w:w="90"/>
            </w:tcMar>
          </w:tcPr>
          <w:p>
            <w:pPr>
              <w:spacing w:after="0"/>
            </w:pPr>
            <w:r>
              <w:rPr>
                <w:rFonts w:ascii="Calibri" w:cs="Calibri" w:eastAsia="Calibri" w:hAnsi="Calibri"/>
                <w:color w:val="1B2A4A"/>
                <w:sz w:val="19"/>
                <w:szCs w:val="19"/>
              </w:rPr>
              <w:t xml:space="preserve">4, 8, 12, 16, 20, 24, 32, 48 px</w:t>
            </w:r>
          </w:p>
        </w:tc>
        <w:tc>
          <w:tcPr>
            <w:tcW w:type="dxa" w:w="4160"/>
            <w:tcMar>
              <w:top w:type="dxa" w:w="60"/>
              <w:left w:type="dxa" w:w="90"/>
              <w:bottom w:type="dxa" w:w="60"/>
              <w:right w:type="dxa" w:w="90"/>
            </w:tcMar>
          </w:tcPr>
          <w:p>
            <w:pPr>
              <w:spacing w:after="0"/>
            </w:pPr>
            <w:r>
              <w:rPr>
                <w:rFonts w:ascii="Calibri" w:cs="Calibri" w:eastAsia="Calibri" w:hAnsi="Calibri"/>
                <w:color w:val="1B2A4A"/>
                <w:sz w:val="19"/>
                <w:szCs w:val="19"/>
              </w:rPr>
              <w:t xml:space="preserve">All padding and gaps; nothing off-scale</w:t>
            </w:r>
          </w:p>
        </w:tc>
      </w:tr>
      <w:tr>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radius-sm</w:t>
            </w:r>
          </w:p>
        </w:tc>
        <w:tc>
          <w:tcPr>
            <w:tcW w:type="dxa" w:w="2800"/>
            <w:tcMar>
              <w:top w:type="dxa" w:w="60"/>
              <w:left w:type="dxa" w:w="90"/>
              <w:bottom w:type="dxa" w:w="60"/>
              <w:right w:type="dxa" w:w="90"/>
            </w:tcMar>
          </w:tcPr>
          <w:p>
            <w:pPr>
              <w:spacing w:after="0"/>
            </w:pPr>
            <w:r>
              <w:rPr>
                <w:rFonts w:ascii="Calibri" w:cs="Calibri" w:eastAsia="Calibri" w:hAnsi="Calibri"/>
                <w:color w:val="1B2A4A"/>
                <w:sz w:val="19"/>
                <w:szCs w:val="19"/>
              </w:rPr>
              <w:t xml:space="preserve">4 px</w:t>
            </w:r>
          </w:p>
        </w:tc>
        <w:tc>
          <w:tcPr>
            <w:tcW w:type="dxa" w:w="4160"/>
            <w:tcMar>
              <w:top w:type="dxa" w:w="60"/>
              <w:left w:type="dxa" w:w="90"/>
              <w:bottom w:type="dxa" w:w="60"/>
              <w:right w:type="dxa" w:w="90"/>
            </w:tcMar>
          </w:tcPr>
          <w:p>
            <w:pPr>
              <w:spacing w:after="0"/>
            </w:pPr>
            <w:r>
              <w:rPr>
                <w:rFonts w:ascii="Calibri" w:cs="Calibri" w:eastAsia="Calibri" w:hAnsi="Calibri"/>
                <w:color w:val="1B2A4A"/>
                <w:sz w:val="19"/>
                <w:szCs w:val="19"/>
              </w:rPr>
              <w:t xml:space="preserve">Inputs, buttons, stat tiles</w:t>
            </w:r>
          </w:p>
        </w:tc>
      </w:tr>
      <w:tr>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radius-pill</w:t>
            </w:r>
          </w:p>
        </w:tc>
        <w:tc>
          <w:tcPr>
            <w:tcW w:type="dxa" w:w="2800"/>
            <w:tcMar>
              <w:top w:type="dxa" w:w="60"/>
              <w:left w:type="dxa" w:w="90"/>
              <w:bottom w:type="dxa" w:w="60"/>
              <w:right w:type="dxa" w:w="90"/>
            </w:tcMar>
          </w:tcPr>
          <w:p>
            <w:pPr>
              <w:spacing w:after="0"/>
            </w:pPr>
            <w:r>
              <w:rPr>
                <w:rFonts w:ascii="Calibri" w:cs="Calibri" w:eastAsia="Calibri" w:hAnsi="Calibri"/>
                <w:color w:val="1B2A4A"/>
                <w:sz w:val="19"/>
                <w:szCs w:val="19"/>
              </w:rPr>
              <w:t xml:space="preserve">999 px</w:t>
            </w:r>
          </w:p>
        </w:tc>
        <w:tc>
          <w:tcPr>
            <w:tcW w:type="dxa" w:w="4160"/>
            <w:tcMar>
              <w:top w:type="dxa" w:w="60"/>
              <w:left w:type="dxa" w:w="90"/>
              <w:bottom w:type="dxa" w:w="60"/>
              <w:right w:type="dxa" w:w="90"/>
            </w:tcMar>
          </w:tcPr>
          <w:p>
            <w:pPr>
              <w:spacing w:after="0"/>
            </w:pPr>
            <w:r>
              <w:rPr>
                <w:rFonts w:ascii="Calibri" w:cs="Calibri" w:eastAsia="Calibri" w:hAnsi="Calibri"/>
                <w:color w:val="1B2A4A"/>
                <w:sz w:val="19"/>
                <w:szCs w:val="19"/>
              </w:rPr>
              <w:t xml:space="preserve">Segmented choice options</w:t>
            </w:r>
          </w:p>
        </w:tc>
      </w:tr>
      <w:tr>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rule-accent</w:t>
            </w:r>
          </w:p>
        </w:tc>
        <w:tc>
          <w:tcPr>
            <w:tcW w:type="dxa" w:w="2800"/>
            <w:tcMar>
              <w:top w:type="dxa" w:w="60"/>
              <w:left w:type="dxa" w:w="90"/>
              <w:bottom w:type="dxa" w:w="60"/>
              <w:right w:type="dxa" w:w="90"/>
            </w:tcMar>
          </w:tcPr>
          <w:p>
            <w:pPr>
              <w:spacing w:after="0"/>
            </w:pPr>
            <w:r>
              <w:rPr>
                <w:rFonts w:ascii="Calibri" w:cs="Calibri" w:eastAsia="Calibri" w:hAnsi="Calibri"/>
                <w:color w:val="1B2A4A"/>
                <w:sz w:val="19"/>
                <w:szCs w:val="19"/>
              </w:rPr>
              <w:t xml:space="preserve">3 px</w:t>
            </w:r>
          </w:p>
        </w:tc>
        <w:tc>
          <w:tcPr>
            <w:tcW w:type="dxa" w:w="4160"/>
            <w:tcMar>
              <w:top w:type="dxa" w:w="60"/>
              <w:left w:type="dxa" w:w="90"/>
              <w:bottom w:type="dxa" w:w="60"/>
              <w:right w:type="dxa" w:w="90"/>
            </w:tcMar>
          </w:tcPr>
          <w:p>
            <w:pPr>
              <w:spacing w:after="0"/>
            </w:pPr>
            <w:r>
              <w:rPr>
                <w:rFonts w:ascii="Calibri" w:cs="Calibri" w:eastAsia="Calibri" w:hAnsi="Calibri"/>
                <w:color w:val="1B2A4A"/>
                <w:sz w:val="19"/>
                <w:szCs w:val="19"/>
              </w:rPr>
              <w:t xml:space="preserve">Selected tab, note edge, live bar top, report header rule</w:t>
            </w:r>
          </w:p>
        </w:tc>
      </w:tr>
      <w:tr>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content-max</w:t>
            </w:r>
          </w:p>
        </w:tc>
        <w:tc>
          <w:tcPr>
            <w:tcW w:type="dxa" w:w="2800"/>
            <w:tcMar>
              <w:top w:type="dxa" w:w="60"/>
              <w:left w:type="dxa" w:w="90"/>
              <w:bottom w:type="dxa" w:w="60"/>
              <w:right w:type="dxa" w:w="90"/>
            </w:tcMar>
          </w:tcPr>
          <w:p>
            <w:pPr>
              <w:spacing w:after="0"/>
            </w:pPr>
            <w:r>
              <w:rPr>
                <w:rFonts w:ascii="Calibri" w:cs="Calibri" w:eastAsia="Calibri" w:hAnsi="Calibri"/>
                <w:color w:val="1B2A4A"/>
                <w:sz w:val="19"/>
                <w:szCs w:val="19"/>
              </w:rPr>
              <w:t xml:space="preserve">820 px</w:t>
            </w:r>
          </w:p>
        </w:tc>
        <w:tc>
          <w:tcPr>
            <w:tcW w:type="dxa" w:w="4160"/>
            <w:tcMar>
              <w:top w:type="dxa" w:w="60"/>
              <w:left w:type="dxa" w:w="90"/>
              <w:bottom w:type="dxa" w:w="60"/>
              <w:right w:type="dxa" w:w="90"/>
            </w:tcMar>
          </w:tcPr>
          <w:p>
            <w:pPr>
              <w:spacing w:after="0"/>
            </w:pPr>
            <w:r>
              <w:rPr>
                <w:rFonts w:ascii="Calibri" w:cs="Calibri" w:eastAsia="Calibri" w:hAnsi="Calibri"/>
                <w:color w:val="1B2A4A"/>
                <w:sz w:val="19"/>
                <w:szCs w:val="19"/>
              </w:rPr>
              <w:t xml:space="preserve">Main column width</w:t>
            </w:r>
          </w:p>
        </w:tc>
      </w:tr>
      <w:tr>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duration / ease</w:t>
            </w:r>
          </w:p>
        </w:tc>
        <w:tc>
          <w:tcPr>
            <w:tcW w:type="dxa" w:w="2800"/>
            <w:tcMar>
              <w:top w:type="dxa" w:w="60"/>
              <w:left w:type="dxa" w:w="90"/>
              <w:bottom w:type="dxa" w:w="60"/>
              <w:right w:type="dxa" w:w="90"/>
            </w:tcMar>
          </w:tcPr>
          <w:p>
            <w:pPr>
              <w:spacing w:after="0"/>
            </w:pPr>
            <w:r>
              <w:rPr>
                <w:rFonts w:ascii="Calibri" w:cs="Calibri" w:eastAsia="Calibri" w:hAnsi="Calibri"/>
                <w:color w:val="1B2A4A"/>
                <w:sz w:val="19"/>
                <w:szCs w:val="19"/>
              </w:rPr>
              <w:t xml:space="preserve">120 ms ease-out</w:t>
            </w:r>
          </w:p>
        </w:tc>
        <w:tc>
          <w:tcPr>
            <w:tcW w:type="dxa" w:w="4160"/>
            <w:tcMar>
              <w:top w:type="dxa" w:w="60"/>
              <w:left w:type="dxa" w:w="90"/>
              <w:bottom w:type="dxa" w:w="60"/>
              <w:right w:type="dxa" w:w="90"/>
            </w:tcMar>
          </w:tcPr>
          <w:p>
            <w:pPr>
              <w:spacing w:after="0"/>
            </w:pPr>
            <w:r>
              <w:rPr>
                <w:rFonts w:ascii="Calibri" w:cs="Calibri" w:eastAsia="Calibri" w:hAnsi="Calibri"/>
                <w:color w:val="1B2A4A"/>
                <w:sz w:val="19"/>
                <w:szCs w:val="19"/>
              </w:rPr>
              <w:t xml:space="preserve">Only for state changes in response to a tap; 0 ms under reduced-motion</w:t>
            </w:r>
          </w:p>
        </w:tc>
      </w:tr>
    </w:tbl>
    <w:p>
      <w:pPr>
        <w:spacing w:after="120"/>
      </w:pPr>
    </w:p>
    <w:p>
      <w:pPr>
        <w:spacing w:after="120" w:line="276"/>
      </w:pPr>
      <w:r>
        <w:rPr>
          <w:rFonts w:ascii="Calibri" w:cs="Calibri" w:eastAsia="Calibri" w:hAnsi="Calibri"/>
          <w:color w:val="1B2A4A"/>
          <w:sz w:val="22"/>
          <w:szCs w:val="22"/>
        </w:rPr>
        <w:t xml:space="preserve">Page padding is 16 px on all viewports; when a live bar is present the page gets 96 px bottom padding so nothing hides behind it. No entrance animations, no hover effects on cards, no parallax.</w:t>
      </w:r>
    </w:p>
    <w:p>
      <w:pPr>
        <w:pStyle w:val="Heading1"/>
        <w:spacing w:after="160" w:before="360"/>
      </w:pPr>
      <w:r>
        <w:rPr>
          <w:rFonts w:ascii="Cambria" w:cs="Cambria" w:eastAsia="Cambria" w:hAnsi="Cambria"/>
          <w:color w:val="1B2A4A"/>
          <w:sz w:val="36"/>
          <w:szCs w:val="36"/>
        </w:rPr>
        <w:t xml:space="preserve">6. Layout and navigation</w:t>
      </w:r>
    </w:p>
    <w:p>
      <w:pPr>
        <w:pStyle w:val="Heading2"/>
        <w:spacing w:after="100" w:before="240"/>
      </w:pPr>
      <w:r>
        <w:rPr>
          <w:rFonts w:ascii="Cambria" w:cs="Cambria" w:eastAsia="Cambria" w:hAnsi="Cambria"/>
          <w:color w:val="C1533C"/>
          <w:sz w:val="28"/>
          <w:szCs w:val="28"/>
        </w:rPr>
        <w:t xml:space="preserve">Mobile-first shell</w:t>
      </w:r>
    </w:p>
    <w:p>
      <w:pPr>
        <w:pStyle w:val="ListParagraph"/>
        <w:numPr>
          <w:ilvl w:val="0"/>
          <w:numId w:val="2"/>
        </w:numPr>
        <w:spacing w:after="60"/>
      </w:pPr>
      <w:r>
        <w:rPr>
          <w:rFonts w:ascii="Calibri" w:cs="Calibri" w:eastAsia="Calibri" w:hAnsi="Calibri"/>
          <w:color w:val="1B2A4A"/>
          <w:sz w:val="22"/>
          <w:szCs w:val="22"/>
        </w:rPr>
        <w:t xml:space="preserve">Header: Navy bar with app title (Cambria 22) and a one-line context subtitle (address, deal name) in 80% white. Right side holds at most two small ghost buttons (Save, Export).</w:t>
      </w:r>
    </w:p>
    <w:p>
      <w:pPr>
        <w:pStyle w:val="ListParagraph"/>
        <w:numPr>
          <w:ilvl w:val="0"/>
          <w:numId w:val="2"/>
        </w:numPr>
        <w:spacing w:after="60"/>
      </w:pPr>
      <w:r>
        <w:rPr>
          <w:rFonts w:ascii="Calibri" w:cs="Calibri" w:eastAsia="Calibri" w:hAnsi="Calibri"/>
          <w:color w:val="1B2A4A"/>
          <w:sz w:val="22"/>
          <w:szCs w:val="22"/>
        </w:rPr>
        <w:t xml:space="preserve">Tabs: horizontal, scrollable row under the header, separated by a 15% white rule. The selected tab has a 3 px Brick underline and bold text. Tabs are role=tab buttons.</w:t>
      </w:r>
    </w:p>
    <w:p>
      <w:pPr>
        <w:pStyle w:val="ListParagraph"/>
        <w:numPr>
          <w:ilvl w:val="0"/>
          <w:numId w:val="2"/>
        </w:numPr>
        <w:spacing w:after="60"/>
      </w:pPr>
      <w:r>
        <w:rPr>
          <w:rFonts w:ascii="Calibri" w:cs="Calibri" w:eastAsia="Calibri" w:hAnsi="Calibri"/>
          <w:color w:val="1B2A4A"/>
          <w:sz w:val="22"/>
          <w:szCs w:val="22"/>
        </w:rPr>
        <w:t xml:space="preserve">Main: single column, 16 px padding, 820 px max width, centred.</w:t>
      </w:r>
    </w:p>
    <w:p>
      <w:pPr>
        <w:pStyle w:val="ListParagraph"/>
        <w:numPr>
          <w:ilvl w:val="0"/>
          <w:numId w:val="2"/>
        </w:numPr>
        <w:spacing w:after="60"/>
      </w:pPr>
      <w:r>
        <w:rPr>
          <w:rFonts w:ascii="Calibri" w:cs="Calibri" w:eastAsia="Calibri" w:hAnsi="Calibri"/>
          <w:color w:val="1B2A4A"/>
          <w:sz w:val="22"/>
          <w:szCs w:val="22"/>
        </w:rPr>
        <w:t xml:space="preserve">Live bar: fixed to the bottom, white with a 3 px Brick top rule. Left: two caption lines of context. Right: caption label and the Cambria 26 number, coloured by outcome tone.</w:t>
      </w:r>
    </w:p>
    <w:p>
      <w:pPr>
        <w:pStyle w:val="Heading2"/>
        <w:spacing w:after="100" w:before="240"/>
      </w:pPr>
      <w:r>
        <w:rPr>
          <w:rFonts w:ascii="Cambria" w:cs="Cambria" w:eastAsia="Cambria" w:hAnsi="Cambria"/>
          <w:color w:val="C1533C"/>
          <w:sz w:val="28"/>
          <w:szCs w:val="28"/>
        </w:rPr>
        <w:t xml:space="preserve">Desktop shell (DealsDash)</w:t>
      </w:r>
    </w:p>
    <w:p>
      <w:pPr>
        <w:pStyle w:val="ListParagraph"/>
        <w:numPr>
          <w:ilvl w:val="0"/>
          <w:numId w:val="2"/>
        </w:numPr>
        <w:spacing w:after="60"/>
      </w:pPr>
      <w:r>
        <w:rPr>
          <w:rFonts w:ascii="Calibri" w:cs="Calibri" w:eastAsia="Calibri" w:hAnsi="Calibri"/>
          <w:color w:val="1B2A4A"/>
          <w:sz w:val="22"/>
          <w:szCs w:val="22"/>
        </w:rPr>
        <w:t xml:space="preserve">The same tabs render as a vertical sidebar (vx-sidenav): Navy column, left-aligned items, 4 px Brick left rule on the selected item, lucide icon at 16 px before the label.</w:t>
      </w:r>
    </w:p>
    <w:p>
      <w:pPr>
        <w:pStyle w:val="ListParagraph"/>
        <w:numPr>
          <w:ilvl w:val="0"/>
          <w:numId w:val="2"/>
        </w:numPr>
        <w:spacing w:after="60"/>
      </w:pPr>
      <w:r>
        <w:rPr>
          <w:rFonts w:ascii="Calibri" w:cs="Calibri" w:eastAsia="Calibri" w:hAnsi="Calibri"/>
          <w:color w:val="1B2A4A"/>
          <w:sz w:val="22"/>
          <w:szCs w:val="22"/>
        </w:rPr>
        <w:t xml:space="preserve">Content keeps the 820 px column; wide tables may extend to 1100 px inside a scroll container.</w:t>
      </w:r>
    </w:p>
    <w:p>
      <w:pPr>
        <w:pStyle w:val="ListParagraph"/>
        <w:numPr>
          <w:ilvl w:val="0"/>
          <w:numId w:val="2"/>
        </w:numPr>
        <w:spacing w:after="60"/>
      </w:pPr>
      <w:r>
        <w:rPr>
          <w:rFonts w:ascii="Calibri" w:cs="Calibri" w:eastAsia="Calibri" w:hAnsi="Calibri"/>
          <w:color w:val="1B2A4A"/>
          <w:sz w:val="22"/>
          <w:szCs w:val="22"/>
        </w:rPr>
        <w:t xml:space="preserve">Breakpoint: 768 px. Below it the sidebar becomes the horizontal tab row. This is the only breakpoint the shell uses.</w:t>
      </w:r>
    </w:p>
    <w:p>
      <w:pPr>
        <w:pStyle w:val="Heading2"/>
        <w:spacing w:after="100" w:before="240"/>
      </w:pPr>
      <w:r>
        <w:rPr>
          <w:rFonts w:ascii="Cambria" w:cs="Cambria" w:eastAsia="Cambria" w:hAnsi="Cambria"/>
          <w:color w:val="C1533C"/>
          <w:sz w:val="28"/>
          <w:szCs w:val="28"/>
        </w:rPr>
        <w:t xml:space="preserve">Forms grid</w:t>
      </w:r>
    </w:p>
    <w:p>
      <w:pPr>
        <w:spacing w:after="120" w:line="276"/>
      </w:pPr>
      <w:r>
        <w:rPr>
          <w:rFonts w:ascii="Calibri" w:cs="Calibri" w:eastAsia="Calibri" w:hAnsi="Calibri"/>
          <w:color w:val="1B2A4A"/>
          <w:sz w:val="22"/>
          <w:szCs w:val="22"/>
        </w:rPr>
        <w:t xml:space="preserve">Fields sit in an auto-fit grid with 150 px minimum columns and 12 px column gap, so a phone gets two columns and a desktop gets four or five without media queries.</w:t>
      </w:r>
    </w:p>
    <w:p>
      <w:pPr>
        <w:pStyle w:val="Heading1"/>
        <w:spacing w:after="160" w:before="360"/>
      </w:pPr>
      <w:r>
        <w:rPr>
          <w:rFonts w:ascii="Cambria" w:cs="Cambria" w:eastAsia="Cambria" w:hAnsi="Cambria"/>
          <w:color w:val="1B2A4A"/>
          <w:sz w:val="36"/>
          <w:szCs w:val="36"/>
        </w:rPr>
        <w:t xml:space="preserve">7. Components</w:t>
      </w:r>
    </w:p>
    <w:p>
      <w:pPr>
        <w:spacing w:after="120" w:line="276"/>
      </w:pPr>
      <w:r>
        <w:rPr>
          <w:rFonts w:ascii="Calibri" w:cs="Calibri" w:eastAsia="Calibri" w:hAnsi="Calibri"/>
          <w:color w:val="1B2A4A"/>
          <w:sz w:val="22"/>
          <w:szCs w:val="22"/>
        </w:rPr>
        <w:t xml:space="preserve">Each component exists as a CSS class set (vx-*) and a React component with the same name. States listed are mandatory.</w:t>
      </w:r>
    </w:p>
    <w:p>
      <w:pPr>
        <w:pStyle w:val="Heading2"/>
        <w:spacing w:after="100" w:before="240"/>
      </w:pPr>
      <w:r>
        <w:rPr>
          <w:rFonts w:ascii="Cambria" w:cs="Cambria" w:eastAsia="Cambria" w:hAnsi="Cambria"/>
          <w:color w:val="C1533C"/>
          <w:sz w:val="28"/>
          <w:szCs w:val="28"/>
        </w:rPr>
        <w:t xml:space="preserve">Header and Tabs</w:t>
      </w:r>
    </w:p>
    <w:p>
      <w:pPr>
        <w:spacing w:after="120" w:line="276"/>
      </w:pPr>
      <w:r>
        <w:rPr>
          <w:rFonts w:ascii="Calibri" w:cs="Calibri" w:eastAsia="Calibri" w:hAnsi="Calibri"/>
          <w:color w:val="1B2A4A"/>
          <w:sz w:val="22"/>
          <w:szCs w:val="22"/>
        </w:rPr>
        <w:t xml:space="preserve">Anatomy: title, subtitle, actions, tab row. Tabs take an array of [key, label] and the current key. Never more than seven tabs; beyond that, group into a second level inside the page.</w:t>
      </w:r>
    </w:p>
    <w:p>
      <w:pPr>
        <w:pStyle w:val="ListParagraph"/>
        <w:numPr>
          <w:ilvl w:val="0"/>
          <w:numId w:val="2"/>
        </w:numPr>
        <w:spacing w:after="60"/>
      </w:pPr>
      <w:r>
        <w:rPr>
          <w:rFonts w:ascii="Calibri" w:cs="Calibri" w:eastAsia="Calibri" w:hAnsi="Calibri"/>
          <w:color w:val="1B2A4A"/>
          <w:sz w:val="22"/>
          <w:szCs w:val="22"/>
        </w:rPr>
        <w:t xml:space="preserve">States: selected (Brick rule, bold), focus (2 px Brick outline, inset), hover (none).</w:t>
      </w:r>
    </w:p>
    <w:p>
      <w:pPr>
        <w:pStyle w:val="Heading2"/>
        <w:spacing w:after="100" w:before="240"/>
      </w:pPr>
      <w:r>
        <w:rPr>
          <w:rFonts w:ascii="Cambria" w:cs="Cambria" w:eastAsia="Cambria" w:hAnsi="Cambria"/>
          <w:color w:val="C1533C"/>
          <w:sz w:val="28"/>
          <w:szCs w:val="28"/>
        </w:rPr>
        <w:t xml:space="preserve">Field, Input and NumberField</w:t>
      </w:r>
    </w:p>
    <w:p>
      <w:pPr>
        <w:spacing w:after="120" w:line="276"/>
      </w:pPr>
      <w:r>
        <w:rPr>
          <w:rFonts w:ascii="Calibri" w:cs="Calibri" w:eastAsia="Calibri" w:hAnsi="Calibri"/>
          <w:color w:val="1B2A4A"/>
          <w:sz w:val="22"/>
          <w:szCs w:val="22"/>
        </w:rPr>
        <w:t xml:space="preserve">A field is a label element wrapping a 14 px label and the control, so the whole label is tappable. NumberField sets inputmode=decimal for a numeric keypad. Inputs are white on light, page-colour on dark, with a 1 px border and 4 px radius.</w:t>
      </w:r>
    </w:p>
    <w:p>
      <w:pPr>
        <w:pStyle w:val="ListParagraph"/>
        <w:numPr>
          <w:ilvl w:val="0"/>
          <w:numId w:val="2"/>
        </w:numPr>
        <w:spacing w:after="60"/>
      </w:pPr>
      <w:r>
        <w:rPr>
          <w:rFonts w:ascii="Calibri" w:cs="Calibri" w:eastAsia="Calibri" w:hAnsi="Calibri"/>
          <w:color w:val="1B2A4A"/>
          <w:sz w:val="22"/>
          <w:szCs w:val="22"/>
        </w:rPr>
        <w:t xml:space="preserve">States: focus (2 px accent outline, 1 px offset), disabled (surface-2 fill, muted text), invalid (negative border, error line below in negative tone).</w:t>
      </w:r>
    </w:p>
    <w:p>
      <w:pPr>
        <w:pStyle w:val="ListParagraph"/>
        <w:numPr>
          <w:ilvl w:val="0"/>
          <w:numId w:val="2"/>
        </w:numPr>
        <w:spacing w:after="60"/>
      </w:pPr>
      <w:r>
        <w:rPr>
          <w:rFonts w:ascii="Calibri" w:cs="Calibri" w:eastAsia="Calibri" w:hAnsi="Calibri"/>
          <w:color w:val="1B2A4A"/>
          <w:sz w:val="22"/>
          <w:szCs w:val="22"/>
        </w:rPr>
        <w:t xml:space="preserve">Labels state units in brackets: "Floor area (m²)", "Interest % per month". Never use placeholder text as the label.</w:t>
      </w:r>
    </w:p>
    <w:p>
      <w:pPr>
        <w:pStyle w:val="ListParagraph"/>
        <w:numPr>
          <w:ilvl w:val="0"/>
          <w:numId w:val="2"/>
        </w:numPr>
        <w:spacing w:after="60"/>
      </w:pPr>
      <w:r>
        <w:rPr>
          <w:rFonts w:ascii="Calibri" w:cs="Calibri" w:eastAsia="Calibri" w:hAnsi="Calibri"/>
          <w:color w:val="1B2A4A"/>
          <w:sz w:val="22"/>
          <w:szCs w:val="22"/>
        </w:rPr>
        <w:t xml:space="preserve">Right-align numeric inputs in tables (vx-input--right).</w:t>
      </w:r>
    </w:p>
    <w:p>
      <w:pPr>
        <w:pStyle w:val="Heading2"/>
        <w:spacing w:after="100" w:before="240"/>
      </w:pPr>
      <w:r>
        <w:rPr>
          <w:rFonts w:ascii="Cambria" w:cs="Cambria" w:eastAsia="Cambria" w:hAnsi="Cambria"/>
          <w:color w:val="C1533C"/>
          <w:sz w:val="28"/>
          <w:szCs w:val="28"/>
        </w:rPr>
        <w:t xml:space="preserve">Segmented</w:t>
      </w:r>
    </w:p>
    <w:p>
      <w:pPr>
        <w:spacing w:after="120" w:line="276"/>
      </w:pPr>
      <w:r>
        <w:rPr>
          <w:rFonts w:ascii="Calibri" w:cs="Calibri" w:eastAsia="Calibri" w:hAnsi="Calibri"/>
          <w:color w:val="1B2A4A"/>
          <w:sz w:val="22"/>
          <w:szCs w:val="22"/>
        </w:rPr>
        <w:t xml:space="preserve">A single-select group of pills, replacing dropdowns for two to six options and replacing checkboxes for tri-state answers (Satisfied / Needs action / Not yet checked). It wraps onto multiple lines rather than truncating. Buttons carry aria-pressed.</w:t>
      </w:r>
    </w:p>
    <w:p>
      <w:pPr>
        <w:pStyle w:val="ListParagraph"/>
        <w:numPr>
          <w:ilvl w:val="0"/>
          <w:numId w:val="2"/>
        </w:numPr>
        <w:spacing w:after="60"/>
      </w:pPr>
      <w:r>
        <w:rPr>
          <w:rFonts w:ascii="Calibri" w:cs="Calibri" w:eastAsia="Calibri" w:hAnsi="Calibri"/>
          <w:color w:val="1B2A4A"/>
          <w:sz w:val="22"/>
          <w:szCs w:val="22"/>
        </w:rPr>
        <w:t xml:space="preserve">Selected: Navy fill, white text (light); accent fill, dark text (dark). Unselected: page fill, 1 px border.</w:t>
      </w:r>
    </w:p>
    <w:p>
      <w:pPr>
        <w:pStyle w:val="ListParagraph"/>
        <w:numPr>
          <w:ilvl w:val="0"/>
          <w:numId w:val="2"/>
        </w:numPr>
        <w:spacing w:after="60"/>
      </w:pPr>
      <w:r>
        <w:rPr>
          <w:rFonts w:ascii="Calibri" w:cs="Calibri" w:eastAsia="Calibri" w:hAnsi="Calibri"/>
          <w:color w:val="1B2A4A"/>
          <w:sz w:val="22"/>
          <w:szCs w:val="22"/>
        </w:rPr>
        <w:t xml:space="preserve">Use for: strategy, route, condition and work-required choices. Do not use for more than six options or for multi-select — use checkboxes.</w:t>
      </w:r>
    </w:p>
    <w:p>
      <w:pPr>
        <w:pStyle w:val="Heading2"/>
        <w:spacing w:after="100" w:before="240"/>
      </w:pPr>
      <w:r>
        <w:rPr>
          <w:rFonts w:ascii="Cambria" w:cs="Cambria" w:eastAsia="Cambria" w:hAnsi="Cambria"/>
          <w:color w:val="C1533C"/>
          <w:sz w:val="28"/>
          <w:szCs w:val="28"/>
        </w:rPr>
        <w:t xml:space="preserve">Button</w:t>
      </w:r>
    </w:p>
    <w:tbl>
      <w:tblPr>
        <w:tblW w:type="dxa" w:w="9360"/>
        <w:tblBorders>
          <w:top w:val="single" w:color="DFE5EE" w:sz="4"/>
          <w:left w:val="none" w:sz="0"/>
          <w:bottom w:val="single" w:color="DFE5EE" w:sz="4"/>
          <w:right w:val="none" w:sz="0"/>
          <w:insideH w:val="single" w:color="DFE5EE" w:sz="4"/>
          <w:insideV w:val="none" w:sz="0"/>
        </w:tblBorders>
      </w:tblPr>
      <w:tblGrid>
        <w:gridCol w:w="2200"/>
        <w:gridCol w:w="2400"/>
        <w:gridCol w:w="2400"/>
        <w:gridCol w:w="2360"/>
      </w:tblGrid>
      <w:tr>
        <w:trPr>
          <w:tblHeader/>
        </w:trPr>
        <w:tc>
          <w:tcPr>
            <w:tcW w:type="dxa" w:w="22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Variant</w:t>
            </w:r>
          </w:p>
        </w:tc>
        <w:tc>
          <w:tcPr>
            <w:tcW w:type="dxa" w:w="24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Light</w:t>
            </w:r>
          </w:p>
        </w:tc>
        <w:tc>
          <w:tcPr>
            <w:tcW w:type="dxa" w:w="24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Dark</w:t>
            </w:r>
          </w:p>
        </w:tc>
        <w:tc>
          <w:tcPr>
            <w:tcW w:type="dxa" w:w="236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Use</w:t>
            </w:r>
          </w:p>
        </w:tc>
      </w:tr>
      <w:tr>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Primary (vx-btn)</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Navy fill, white text</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Ice fill, Navy text</w:t>
            </w:r>
          </w:p>
        </w:tc>
        <w:tc>
          <w:tcPr>
            <w:tcW w:type="dxa" w:w="2360"/>
            <w:tcMar>
              <w:top w:type="dxa" w:w="60"/>
              <w:left w:type="dxa" w:w="90"/>
              <w:bottom w:type="dxa" w:w="60"/>
              <w:right w:type="dxa" w:w="90"/>
            </w:tcMar>
          </w:tcPr>
          <w:p>
            <w:pPr>
              <w:spacing w:after="0"/>
            </w:pPr>
            <w:r>
              <w:rPr>
                <w:rFonts w:ascii="Calibri" w:cs="Calibri" w:eastAsia="Calibri" w:hAnsi="Calibri"/>
                <w:color w:val="1B2A4A"/>
                <w:sz w:val="19"/>
                <w:szCs w:val="19"/>
              </w:rPr>
              <w:t xml:space="preserve">The one main action on a screen: Save, Print</w:t>
            </w:r>
          </w:p>
        </w:tc>
      </w:tr>
      <w:tr>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Ghost (vx-btn--ghost)</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White fill, Navy border and text</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Transparent, border, Ice text</w:t>
            </w:r>
          </w:p>
        </w:tc>
        <w:tc>
          <w:tcPr>
            <w:tcW w:type="dxa" w:w="2360"/>
            <w:tcMar>
              <w:top w:type="dxa" w:w="60"/>
              <w:left w:type="dxa" w:w="90"/>
              <w:bottom w:type="dxa" w:w="60"/>
              <w:right w:type="dxa" w:w="90"/>
            </w:tcMar>
          </w:tcPr>
          <w:p>
            <w:pPr>
              <w:spacing w:after="0"/>
            </w:pPr>
            <w:r>
              <w:rPr>
                <w:rFonts w:ascii="Calibri" w:cs="Calibri" w:eastAsia="Calibri" w:hAnsi="Calibri"/>
                <w:color w:val="1B2A4A"/>
                <w:sz w:val="19"/>
                <w:szCs w:val="19"/>
              </w:rPr>
              <w:t xml:space="preserve">Secondary actions: Export, Open, Reset</w:t>
            </w:r>
          </w:p>
        </w:tc>
      </w:tr>
      <w:tr>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Accent (vx-btn--accent)</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Brick fill, white text</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Light Brick fill, dark text</w:t>
            </w:r>
          </w:p>
        </w:tc>
        <w:tc>
          <w:tcPr>
            <w:tcW w:type="dxa" w:w="2360"/>
            <w:tcMar>
              <w:top w:type="dxa" w:w="60"/>
              <w:left w:type="dxa" w:w="90"/>
              <w:bottom w:type="dxa" w:w="60"/>
              <w:right w:type="dxa" w:w="90"/>
            </w:tcMar>
          </w:tcPr>
          <w:p>
            <w:pPr>
              <w:spacing w:after="0"/>
            </w:pPr>
            <w:r>
              <w:rPr>
                <w:rFonts w:ascii="Calibri" w:cs="Calibri" w:eastAsia="Calibri" w:hAnsi="Calibri"/>
                <w:color w:val="1B2A4A"/>
                <w:sz w:val="19"/>
                <w:szCs w:val="19"/>
              </w:rPr>
              <w:t xml:space="preserve">Irreversible or promoting actions: Promote to deal, Delete</w:t>
            </w:r>
          </w:p>
        </w:tc>
      </w:tr>
      <w:tr>
        <w:tc>
          <w:tcPr>
            <w:tcW w:type="dxa" w:w="2200"/>
            <w:tcMar>
              <w:top w:type="dxa" w:w="60"/>
              <w:left w:type="dxa" w:w="90"/>
              <w:bottom w:type="dxa" w:w="60"/>
              <w:right w:type="dxa" w:w="90"/>
            </w:tcMar>
          </w:tcPr>
          <w:p>
            <w:pPr>
              <w:spacing w:after="0"/>
            </w:pPr>
            <w:r>
              <w:rPr>
                <w:rFonts w:ascii="Calibri" w:cs="Calibri" w:eastAsia="Calibri" w:hAnsi="Calibri"/>
                <w:color w:val="1B2A4A"/>
                <w:sz w:val="19"/>
                <w:szCs w:val="19"/>
              </w:rPr>
              <w:t xml:space="preserve">Small (vx-btn--sm)</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32 px tall</w:t>
            </w:r>
          </w:p>
        </w:tc>
        <w:tc>
          <w:tcPr>
            <w:tcW w:type="dxa" w:w="2400"/>
            <w:tcMar>
              <w:top w:type="dxa" w:w="60"/>
              <w:left w:type="dxa" w:w="90"/>
              <w:bottom w:type="dxa" w:w="60"/>
              <w:right w:type="dxa" w:w="90"/>
            </w:tcMar>
          </w:tcPr>
          <w:p>
            <w:pPr>
              <w:spacing w:after="0"/>
            </w:pPr>
            <w:r>
              <w:rPr>
                <w:rFonts w:ascii="Calibri" w:cs="Calibri" w:eastAsia="Calibri" w:hAnsi="Calibri"/>
                <w:color w:val="1B2A4A"/>
                <w:sz w:val="19"/>
                <w:szCs w:val="19"/>
              </w:rPr>
              <w:t xml:space="preserve">32 px tall</w:t>
            </w:r>
          </w:p>
        </w:tc>
        <w:tc>
          <w:tcPr>
            <w:tcW w:type="dxa" w:w="2360"/>
            <w:tcMar>
              <w:top w:type="dxa" w:w="60"/>
              <w:left w:type="dxa" w:w="90"/>
              <w:bottom w:type="dxa" w:w="60"/>
              <w:right w:type="dxa" w:w="90"/>
            </w:tcMar>
          </w:tcPr>
          <w:p>
            <w:pPr>
              <w:spacing w:after="0"/>
            </w:pPr>
            <w:r>
              <w:rPr>
                <w:rFonts w:ascii="Calibri" w:cs="Calibri" w:eastAsia="Calibri" w:hAnsi="Calibri"/>
                <w:color w:val="1B2A4A"/>
                <w:sz w:val="19"/>
                <w:szCs w:val="19"/>
              </w:rPr>
              <w:t xml:space="preserve">Header actions, table row actions</w:t>
            </w:r>
          </w:p>
        </w:tc>
      </w:tr>
    </w:tbl>
    <w:p>
      <w:pPr>
        <w:spacing w:after="120"/>
      </w:pPr>
    </w:p>
    <w:p>
      <w:pPr>
        <w:pStyle w:val="ListParagraph"/>
        <w:numPr>
          <w:ilvl w:val="0"/>
          <w:numId w:val="2"/>
        </w:numPr>
        <w:spacing w:after="60"/>
      </w:pPr>
      <w:r>
        <w:rPr>
          <w:rFonts w:ascii="Calibri" w:cs="Calibri" w:eastAsia="Calibri" w:hAnsi="Calibri"/>
          <w:color w:val="1B2A4A"/>
          <w:sz w:val="22"/>
          <w:szCs w:val="22"/>
        </w:rPr>
        <w:t xml:space="preserve">Minimum height 40 px; label is a verb phrase in sentence case; disabled is 50% opacity with not-allowed cursor.</w:t>
      </w:r>
    </w:p>
    <w:p>
      <w:pPr>
        <w:pStyle w:val="Heading2"/>
        <w:spacing w:after="100" w:before="240"/>
      </w:pPr>
      <w:r>
        <w:rPr>
          <w:rFonts w:ascii="Cambria" w:cs="Cambria" w:eastAsia="Cambria" w:hAnsi="Cambria"/>
          <w:color w:val="C1533C"/>
          <w:sz w:val="28"/>
          <w:szCs w:val="28"/>
        </w:rPr>
        <w:t xml:space="preserve">Item</w:t>
      </w:r>
    </w:p>
    <w:p>
      <w:pPr>
        <w:spacing w:after="120" w:line="276"/>
      </w:pPr>
      <w:r>
        <w:rPr>
          <w:rFonts w:ascii="Calibri" w:cs="Calibri" w:eastAsia="Calibri" w:hAnsi="Calibri"/>
          <w:color w:val="1B2A4A"/>
          <w:sz w:val="22"/>
          <w:szCs w:val="22"/>
        </w:rPr>
        <w:t xml:space="preserve">The walkthrough row: a 1 px top divider, bold title with an optional right-aligned value, muted guidance line, then any controls and notes. Items stack directly; there is no card, gap or shadow between them. Section headings (h3, Cambria, accent) group items.</w:t>
      </w:r>
    </w:p>
    <w:p>
      <w:pPr>
        <w:pStyle w:val="Heading2"/>
        <w:spacing w:after="100" w:before="240"/>
      </w:pPr>
      <w:r>
        <w:rPr>
          <w:rFonts w:ascii="Cambria" w:cs="Cambria" w:eastAsia="Cambria" w:hAnsi="Cambria"/>
          <w:color w:val="C1533C"/>
          <w:sz w:val="28"/>
          <w:szCs w:val="28"/>
        </w:rPr>
        <w:t xml:space="preserve">Note</w:t>
      </w:r>
    </w:p>
    <w:p>
      <w:pPr>
        <w:spacing w:after="120" w:line="276"/>
      </w:pPr>
      <w:r>
        <w:rPr>
          <w:rFonts w:ascii="Calibri" w:cs="Calibri" w:eastAsia="Calibri" w:hAnsi="Calibri"/>
          <w:color w:val="1B2A4A"/>
          <w:sz w:val="22"/>
          <w:szCs w:val="22"/>
        </w:rPr>
        <w:t xml:space="preserve">An ice-surface callout with a 3 px left rule. Default (Brick) carries regulatory or legal context; caution carries assumptions and unvalidated figures; positive confirms a satisfied check. Notes are 13 px and never exceed three lines — link out for more.</w:t>
      </w:r>
    </w:p>
    <w:p>
      <w:pPr>
        <w:pStyle w:val="Heading2"/>
        <w:spacing w:after="100" w:before="240"/>
      </w:pPr>
      <w:r>
        <w:rPr>
          <w:rFonts w:ascii="Cambria" w:cs="Cambria" w:eastAsia="Cambria" w:hAnsi="Cambria"/>
          <w:color w:val="C1533C"/>
          <w:sz w:val="28"/>
          <w:szCs w:val="28"/>
        </w:rPr>
        <w:t xml:space="preserve">Stat</w:t>
      </w:r>
    </w:p>
    <w:p>
      <w:pPr>
        <w:spacing w:after="120" w:line="276"/>
      </w:pPr>
      <w:r>
        <w:rPr>
          <w:rFonts w:ascii="Calibri" w:cs="Calibri" w:eastAsia="Calibri" w:hAnsi="Calibri"/>
          <w:color w:val="1B2A4A"/>
          <w:sz w:val="22"/>
          <w:szCs w:val="22"/>
        </w:rPr>
        <w:t xml:space="preserve">An ice tile with a 13 px muted label and a Cambria value (18 px; 24 px for the two headline stats). Values take an outcome tone when they represent a decision (Proceed / Negotiate / Walk away) or a comparison against target (profit above or below target). Stats are laid out two per row.</w:t>
      </w:r>
    </w:p>
    <w:p>
      <w:pPr>
        <w:pStyle w:val="Heading2"/>
        <w:spacing w:after="100" w:before="240"/>
      </w:pPr>
      <w:r>
        <w:rPr>
          <w:rFonts w:ascii="Cambria" w:cs="Cambria" w:eastAsia="Cambria" w:hAnsi="Cambria"/>
          <w:color w:val="C1533C"/>
          <w:sz w:val="28"/>
          <w:szCs w:val="28"/>
        </w:rPr>
        <w:t xml:space="preserve">Table</w:t>
      </w:r>
    </w:p>
    <w:p>
      <w:pPr>
        <w:spacing w:after="120" w:line="276"/>
      </w:pPr>
      <w:r>
        <w:rPr>
          <w:rFonts w:ascii="Calibri" w:cs="Calibri" w:eastAsia="Calibri" w:hAnsi="Calibri"/>
          <w:color w:val="1B2A4A"/>
          <w:sz w:val="22"/>
          <w:szCs w:val="22"/>
        </w:rPr>
        <w:t xml:space="preserve">Full-width, 14 px, 1 px dividers only, no vertical rules. Numeric columns are right-aligned with tabular figures. A total row is bold. Secondary information sits under the primary cell text as a 12 px caption rather than in extra columns. Zebra striping is optional for tables longer than 15 rows.</w:t>
      </w:r>
    </w:p>
    <w:p>
      <w:pPr>
        <w:pStyle w:val="Heading2"/>
        <w:spacing w:after="100" w:before="240"/>
      </w:pPr>
      <w:r>
        <w:rPr>
          <w:rFonts w:ascii="Cambria" w:cs="Cambria" w:eastAsia="Cambria" w:hAnsi="Cambria"/>
          <w:color w:val="C1533C"/>
          <w:sz w:val="28"/>
          <w:szCs w:val="28"/>
        </w:rPr>
        <w:t xml:space="preserve">Live bar</w:t>
      </w:r>
    </w:p>
    <w:p>
      <w:pPr>
        <w:spacing w:after="120" w:line="276"/>
      </w:pPr>
      <w:r>
        <w:rPr>
          <w:rFonts w:ascii="Calibri" w:cs="Calibri" w:eastAsia="Calibri" w:hAnsi="Calibri"/>
          <w:color w:val="1B2A4A"/>
          <w:sz w:val="22"/>
          <w:szCs w:val="22"/>
        </w:rPr>
        <w:t xml:space="preserve">The signature component. Fixed bottom bar, role=status with aria-live=polite so screen readers announce changes. Shows exactly one number. Its tone follows the decision: positive when the figure clears the target, caution within 5% of it, negative otherwise. Hidden in print.</w:t>
      </w:r>
    </w:p>
    <w:p>
      <w:pPr>
        <w:pStyle w:val="Heading2"/>
        <w:spacing w:after="100" w:before="240"/>
      </w:pPr>
      <w:r>
        <w:rPr>
          <w:rFonts w:ascii="Cambria" w:cs="Cambria" w:eastAsia="Cambria" w:hAnsi="Cambria"/>
          <w:color w:val="C1533C"/>
          <w:sz w:val="28"/>
          <w:szCs w:val="28"/>
        </w:rPr>
        <w:t xml:space="preserve">Status and empty state</w:t>
      </w:r>
    </w:p>
    <w:p>
      <w:pPr>
        <w:pStyle w:val="ListParagraph"/>
        <w:numPr>
          <w:ilvl w:val="0"/>
          <w:numId w:val="2"/>
        </w:numPr>
        <w:spacing w:after="60"/>
      </w:pPr>
      <w:r>
        <w:rPr>
          <w:rFonts w:ascii="Calibri" w:cs="Calibri" w:eastAsia="Calibri" w:hAnsi="Calibri"/>
          <w:color w:val="1B2A4A"/>
          <w:sz w:val="22"/>
          <w:szCs w:val="22"/>
        </w:rPr>
        <w:t xml:space="preserve">Status: a 13 px accent-strong line at the top of the content confirming the last action with the same verb as the button ("Saved", "Loaded 12 Example Street", "Cleared").</w:t>
      </w:r>
    </w:p>
    <w:p>
      <w:pPr>
        <w:pStyle w:val="ListParagraph"/>
        <w:numPr>
          <w:ilvl w:val="0"/>
          <w:numId w:val="2"/>
        </w:numPr>
        <w:spacing w:after="60"/>
      </w:pPr>
      <w:r>
        <w:rPr>
          <w:rFonts w:ascii="Calibri" w:cs="Calibri" w:eastAsia="Calibri" w:hAnsi="Calibri"/>
          <w:color w:val="1B2A4A"/>
          <w:sz w:val="22"/>
          <w:szCs w:val="22"/>
        </w:rPr>
        <w:t xml:space="preserve">Empty state: one muted sentence that says what to do next ("No work items selected yet — complete the external and internal walkthroughs."). Never an illustration.</w:t>
      </w:r>
    </w:p>
    <w:p>
      <w:pPr>
        <w:pStyle w:val="Heading1"/>
        <w:spacing w:after="160" w:before="360"/>
      </w:pPr>
      <w:r>
        <w:rPr>
          <w:rFonts w:ascii="Cambria" w:cs="Cambria" w:eastAsia="Cambria" w:hAnsi="Cambria"/>
          <w:color w:val="1B2A4A"/>
          <w:sz w:val="36"/>
          <w:szCs w:val="36"/>
        </w:rPr>
        <w:t xml:space="preserve">8. Patterns</w:t>
      </w:r>
    </w:p>
    <w:p>
      <w:pPr>
        <w:pStyle w:val="Heading2"/>
        <w:spacing w:after="100" w:before="240"/>
      </w:pPr>
      <w:r>
        <w:rPr>
          <w:rFonts w:ascii="Cambria" w:cs="Cambria" w:eastAsia="Cambria" w:hAnsi="Cambria"/>
          <w:color w:val="C1533C"/>
          <w:sz w:val="28"/>
          <w:szCs w:val="28"/>
        </w:rPr>
        <w:t xml:space="preserve">Live decision number</w:t>
      </w:r>
    </w:p>
    <w:p>
      <w:pPr>
        <w:spacing w:after="120" w:line="276"/>
      </w:pPr>
      <w:r>
        <w:rPr>
          <w:rFonts w:ascii="Calibri" w:cs="Calibri" w:eastAsia="Calibri" w:hAnsi="Calibri"/>
          <w:color w:val="1B2A4A"/>
          <w:sz w:val="22"/>
          <w:szCs w:val="22"/>
        </w:rPr>
        <w:t xml:space="preserve">Any appraisal screen has one figure that decides the outcome. Compute it from state on every change, show it in the live bar on every tab, and repeat it as the first headline stat on the report. The user should never have to navigate to learn whether the deal still works.</w:t>
      </w:r>
    </w:p>
    <w:p>
      <w:pPr>
        <w:pStyle w:val="Heading2"/>
        <w:spacing w:after="100" w:before="240"/>
      </w:pPr>
      <w:r>
        <w:rPr>
          <w:rFonts w:ascii="Cambria" w:cs="Cambria" w:eastAsia="Cambria" w:hAnsi="Cambria"/>
          <w:color w:val="C1533C"/>
          <w:sz w:val="28"/>
          <w:szCs w:val="28"/>
        </w:rPr>
        <w:t xml:space="preserve">Regulatory note per item</w:t>
      </w:r>
    </w:p>
    <w:p>
      <w:pPr>
        <w:spacing w:after="120" w:line="276"/>
      </w:pPr>
      <w:r>
        <w:rPr>
          <w:rFonts w:ascii="Calibri" w:cs="Calibri" w:eastAsia="Calibri" w:hAnsi="Calibri"/>
          <w:color w:val="1B2A4A"/>
          <w:sz w:val="22"/>
          <w:szCs w:val="22"/>
        </w:rPr>
        <w:t xml:space="preserve">Each checklist item carries a rental and a resale note; the one shown follows the selected strategy. Notes name the instrument (EICR, Part P, HHSRS, FENSA) and the obligation in one sentence. Proposed or unverified requirements say "(verify)".</w:t>
      </w:r>
    </w:p>
    <w:p>
      <w:pPr>
        <w:pStyle w:val="Heading2"/>
        <w:spacing w:after="100" w:before="240"/>
      </w:pPr>
      <w:r>
        <w:rPr>
          <w:rFonts w:ascii="Cambria" w:cs="Cambria" w:eastAsia="Cambria" w:hAnsi="Cambria"/>
          <w:color w:val="C1533C"/>
          <w:sz w:val="28"/>
          <w:szCs w:val="28"/>
        </w:rPr>
        <w:t xml:space="preserve">Unvalidated figure</w:t>
      </w:r>
    </w:p>
    <w:p>
      <w:pPr>
        <w:spacing w:after="120" w:line="276"/>
      </w:pPr>
      <w:r>
        <w:rPr>
          <w:rFonts w:ascii="Calibri" w:cs="Calibri" w:eastAsia="Calibri" w:hAnsi="Calibri"/>
          <w:color w:val="1B2A4A"/>
          <w:sz w:val="22"/>
          <w:szCs w:val="22"/>
        </w:rPr>
        <w:t xml:space="preserve">Benchmarks and derived geometry are labelled as such wherever they appear: in the rates table ("Benchmark" column), beside overrides ("calc £4,100"), and in a caution note on reports. A quoted figure replaces the benchmark and is marked "quoted" in the schedule of works.</w:t>
      </w:r>
    </w:p>
    <w:p>
      <w:pPr>
        <w:pStyle w:val="Heading2"/>
        <w:spacing w:after="100" w:before="240"/>
      </w:pPr>
      <w:r>
        <w:rPr>
          <w:rFonts w:ascii="Cambria" w:cs="Cambria" w:eastAsia="Cambria" w:hAnsi="Cambria"/>
          <w:color w:val="C1533C"/>
          <w:sz w:val="28"/>
          <w:szCs w:val="28"/>
        </w:rPr>
        <w:t xml:space="preserve">Report layout</w:t>
      </w:r>
    </w:p>
    <w:p>
      <w:pPr>
        <w:spacing w:after="120" w:line="276"/>
      </w:pPr>
      <w:r>
        <w:rPr>
          <w:rFonts w:ascii="Calibri" w:cs="Calibri" w:eastAsia="Calibri" w:hAnsi="Calibri"/>
          <w:color w:val="1B2A4A"/>
          <w:sz w:val="22"/>
          <w:szCs w:val="22"/>
        </w:rPr>
        <w:t xml:space="preserve">Title block with a 3 px Brick bottom rule (title, address, date, entity). Headline stats in a two-column grid. Then, in order: build-up table, outcome-at-price table, schedule of works, compliance table, assumptions footnote in 13 px muted. Print and Export buttons close the page and are hidden in print.</w:t>
      </w:r>
    </w:p>
    <w:p>
      <w:pPr>
        <w:pStyle w:val="Heading2"/>
        <w:spacing w:after="100" w:before="240"/>
      </w:pPr>
      <w:r>
        <w:rPr>
          <w:rFonts w:ascii="Cambria" w:cs="Cambria" w:eastAsia="Cambria" w:hAnsi="Cambria"/>
          <w:color w:val="C1533C"/>
          <w:sz w:val="28"/>
          <w:szCs w:val="28"/>
        </w:rPr>
        <w:t xml:space="preserve">Confidence and professional-advice flags</w:t>
      </w:r>
    </w:p>
    <w:p>
      <w:pPr>
        <w:spacing w:after="120" w:line="276"/>
      </w:pPr>
      <w:r>
        <w:rPr>
          <w:rFonts w:ascii="Calibri" w:cs="Calibri" w:eastAsia="Calibri" w:hAnsi="Calibri"/>
          <w:color w:val="1B2A4A"/>
          <w:sz w:val="22"/>
          <w:szCs w:val="22"/>
        </w:rPr>
        <w:t xml:space="preserve">Where a figure or rule falls below the ~95% confidence threshold (tax bands, proposed legislation, benchmark rates), the interface says so inline and lists it under assumptions on the report. Open professional-advice items (solicitor, surveyor, accountant) are named there rather than left implicit.</w:t>
      </w:r>
    </w:p>
    <w:p>
      <w:pPr>
        <w:pStyle w:val="Heading1"/>
        <w:spacing w:after="160" w:before="360"/>
      </w:pPr>
      <w:r>
        <w:rPr>
          <w:rFonts w:ascii="Cambria" w:cs="Cambria" w:eastAsia="Cambria" w:hAnsi="Cambria"/>
          <w:color w:val="1B2A4A"/>
          <w:sz w:val="36"/>
          <w:szCs w:val="36"/>
        </w:rPr>
        <w:t xml:space="preserve">9. Accessibility</w:t>
      </w:r>
    </w:p>
    <w:p>
      <w:pPr>
        <w:pStyle w:val="ListParagraph"/>
        <w:numPr>
          <w:ilvl w:val="0"/>
          <w:numId w:val="2"/>
        </w:numPr>
        <w:spacing w:after="60"/>
      </w:pPr>
      <w:r>
        <w:rPr>
          <w:rFonts w:ascii="Calibri" w:cs="Calibri" w:eastAsia="Calibri" w:hAnsi="Calibri"/>
          <w:color w:val="1B2A4A"/>
          <w:sz w:val="22"/>
          <w:szCs w:val="22"/>
        </w:rPr>
        <w:t xml:space="preserve">All text pairs meet WCAG 2.1 AA; the token tables record the ratios. Large Cambria headings in accent may go to 3:1 but no body text may.</w:t>
      </w:r>
    </w:p>
    <w:p>
      <w:pPr>
        <w:pStyle w:val="ListParagraph"/>
        <w:numPr>
          <w:ilvl w:val="0"/>
          <w:numId w:val="2"/>
        </w:numPr>
        <w:spacing w:after="60"/>
      </w:pPr>
      <w:r>
        <w:rPr>
          <w:rFonts w:ascii="Calibri" w:cs="Calibri" w:eastAsia="Calibri" w:hAnsi="Calibri"/>
          <w:color w:val="1B2A4A"/>
          <w:sz w:val="22"/>
          <w:szCs w:val="22"/>
        </w:rPr>
        <w:t xml:space="preserve">Every interactive element is a native button or input; focus is visible as a 2 px accent outline; tab order follows reading order.</w:t>
      </w:r>
    </w:p>
    <w:p>
      <w:pPr>
        <w:pStyle w:val="ListParagraph"/>
        <w:numPr>
          <w:ilvl w:val="0"/>
          <w:numId w:val="2"/>
        </w:numPr>
        <w:spacing w:after="60"/>
      </w:pPr>
      <w:r>
        <w:rPr>
          <w:rFonts w:ascii="Calibri" w:cs="Calibri" w:eastAsia="Calibri" w:hAnsi="Calibri"/>
          <w:color w:val="1B2A4A"/>
          <w:sz w:val="22"/>
          <w:szCs w:val="22"/>
        </w:rPr>
        <w:t xml:space="preserve">Tabs use role=tablist / role=tab with aria-selected; segmented options use aria-pressed; the live bar uses role=status and aria-live=polite.</w:t>
      </w:r>
    </w:p>
    <w:p>
      <w:pPr>
        <w:pStyle w:val="ListParagraph"/>
        <w:numPr>
          <w:ilvl w:val="0"/>
          <w:numId w:val="2"/>
        </w:numPr>
        <w:spacing w:after="60"/>
      </w:pPr>
      <w:r>
        <w:rPr>
          <w:rFonts w:ascii="Calibri" w:cs="Calibri" w:eastAsia="Calibri" w:hAnsi="Calibri"/>
          <w:color w:val="1B2A4A"/>
          <w:sz w:val="22"/>
          <w:szCs w:val="22"/>
        </w:rPr>
        <w:t xml:space="preserve">Touch targets are at least 40 × 40 px; pills are 32 px tall with 6 px gaps and are acceptable because they are wide.</w:t>
      </w:r>
    </w:p>
    <w:p>
      <w:pPr>
        <w:pStyle w:val="ListParagraph"/>
        <w:numPr>
          <w:ilvl w:val="0"/>
          <w:numId w:val="2"/>
        </w:numPr>
        <w:spacing w:after="60"/>
      </w:pPr>
      <w:r>
        <w:rPr>
          <w:rFonts w:ascii="Calibri" w:cs="Calibri" w:eastAsia="Calibri" w:hAnsi="Calibri"/>
          <w:color w:val="1B2A4A"/>
          <w:sz w:val="22"/>
          <w:szCs w:val="22"/>
        </w:rPr>
        <w:t xml:space="preserve">Colour never carries meaning alone: outcome tones are always paired with a word (Proceed, Negotiate, Walk away).</w:t>
      </w:r>
    </w:p>
    <w:p>
      <w:pPr>
        <w:pStyle w:val="ListParagraph"/>
        <w:numPr>
          <w:ilvl w:val="0"/>
          <w:numId w:val="2"/>
        </w:numPr>
        <w:spacing w:after="60"/>
      </w:pPr>
      <w:r>
        <w:rPr>
          <w:rFonts w:ascii="Calibri" w:cs="Calibri" w:eastAsia="Calibri" w:hAnsi="Calibri"/>
          <w:color w:val="1B2A4A"/>
          <w:sz w:val="22"/>
          <w:szCs w:val="22"/>
        </w:rPr>
        <w:t xml:space="preserve">Reduced-motion preference sets all durations to zero; there is no motion that conveys information.</w:t>
      </w:r>
    </w:p>
    <w:p>
      <w:pPr>
        <w:pStyle w:val="ListParagraph"/>
        <w:numPr>
          <w:ilvl w:val="0"/>
          <w:numId w:val="2"/>
        </w:numPr>
        <w:spacing w:after="60"/>
      </w:pPr>
      <w:r>
        <w:rPr>
          <w:rFonts w:ascii="Calibri" w:cs="Calibri" w:eastAsia="Calibri" w:hAnsi="Calibri"/>
          <w:color w:val="1B2A4A"/>
          <w:sz w:val="22"/>
          <w:szCs w:val="22"/>
        </w:rPr>
        <w:t xml:space="preserve">Zoom to 200% must not cause horizontal scrolling of the main column; the forms grid reflows.</w:t>
      </w:r>
    </w:p>
    <w:p>
      <w:pPr>
        <w:pStyle w:val="Heading1"/>
        <w:spacing w:after="160" w:before="360"/>
      </w:pPr>
      <w:r>
        <w:rPr>
          <w:rFonts w:ascii="Cambria" w:cs="Cambria" w:eastAsia="Cambria" w:hAnsi="Cambria"/>
          <w:color w:val="1B2A4A"/>
          <w:sz w:val="36"/>
          <w:szCs w:val="36"/>
        </w:rPr>
        <w:t xml:space="preserve">10. Writing</w:t>
      </w:r>
    </w:p>
    <w:p>
      <w:pPr>
        <w:pStyle w:val="ListParagraph"/>
        <w:numPr>
          <w:ilvl w:val="0"/>
          <w:numId w:val="2"/>
        </w:numPr>
        <w:spacing w:after="60"/>
      </w:pPr>
      <w:r>
        <w:rPr>
          <w:rFonts w:ascii="Calibri" w:cs="Calibri" w:eastAsia="Calibri" w:hAnsi="Calibri"/>
          <w:color w:val="1B2A4A"/>
          <w:sz w:val="22"/>
          <w:szCs w:val="22"/>
        </w:rPr>
        <w:t xml:space="preserve">Sentence case for everything, including buttons, tabs and table headers.</w:t>
      </w:r>
    </w:p>
    <w:p>
      <w:pPr>
        <w:pStyle w:val="ListParagraph"/>
        <w:numPr>
          <w:ilvl w:val="0"/>
          <w:numId w:val="2"/>
        </w:numPr>
        <w:spacing w:after="60"/>
      </w:pPr>
      <w:r>
        <w:rPr>
          <w:rFonts w:ascii="Calibri" w:cs="Calibri" w:eastAsia="Calibri" w:hAnsi="Calibri"/>
          <w:color w:val="1B2A4A"/>
          <w:sz w:val="22"/>
          <w:szCs w:val="22"/>
        </w:rPr>
        <w:t xml:space="preserve">Buttons name the outcome: "Save survey", "Print / save as PDF", "Promote to deal". Status text repeats the verb: "Saved".</w:t>
      </w:r>
    </w:p>
    <w:p>
      <w:pPr>
        <w:pStyle w:val="ListParagraph"/>
        <w:numPr>
          <w:ilvl w:val="0"/>
          <w:numId w:val="2"/>
        </w:numPr>
        <w:spacing w:after="60"/>
      </w:pPr>
      <w:r>
        <w:rPr>
          <w:rFonts w:ascii="Calibri" w:cs="Calibri" w:eastAsia="Calibri" w:hAnsi="Calibri"/>
          <w:color w:val="1B2A4A"/>
          <w:sz w:val="22"/>
          <w:szCs w:val="22"/>
        </w:rPr>
        <w:t xml:space="preserve">Labels are nouns with units; guidance lines are what-to-look-for lists in plain English, no more than two lines.</w:t>
      </w:r>
    </w:p>
    <w:p>
      <w:pPr>
        <w:pStyle w:val="ListParagraph"/>
        <w:numPr>
          <w:ilvl w:val="0"/>
          <w:numId w:val="2"/>
        </w:numPr>
        <w:spacing w:after="60"/>
      </w:pPr>
      <w:r>
        <w:rPr>
          <w:rFonts w:ascii="Calibri" w:cs="Calibri" w:eastAsia="Calibri" w:hAnsi="Calibri"/>
          <w:color w:val="1B2A4A"/>
          <w:sz w:val="22"/>
          <w:szCs w:val="22"/>
        </w:rPr>
        <w:t xml:space="preserve">Regulatory text names the instrument and the duty; it does not give legal advice.</w:t>
      </w:r>
    </w:p>
    <w:p>
      <w:pPr>
        <w:pStyle w:val="ListParagraph"/>
        <w:numPr>
          <w:ilvl w:val="0"/>
          <w:numId w:val="2"/>
        </w:numPr>
        <w:spacing w:after="60"/>
      </w:pPr>
      <w:r>
        <w:rPr>
          <w:rFonts w:ascii="Calibri" w:cs="Calibri" w:eastAsia="Calibri" w:hAnsi="Calibri"/>
          <w:color w:val="1B2A4A"/>
          <w:sz w:val="22"/>
          <w:szCs w:val="22"/>
        </w:rPr>
        <w:t xml:space="preserve">Empty and error states say what happened and what to do next. Errors never apologise.</w:t>
      </w:r>
    </w:p>
    <w:p>
      <w:pPr>
        <w:pStyle w:val="ListParagraph"/>
        <w:numPr>
          <w:ilvl w:val="0"/>
          <w:numId w:val="2"/>
        </w:numPr>
        <w:spacing w:after="60"/>
      </w:pPr>
      <w:r>
        <w:rPr>
          <w:rFonts w:ascii="Calibri" w:cs="Calibri" w:eastAsia="Calibri" w:hAnsi="Calibri"/>
          <w:color w:val="1B2A4A"/>
          <w:sz w:val="22"/>
          <w:szCs w:val="22"/>
        </w:rPr>
        <w:t xml:space="preserve">British English throughout: refurbishment, licence (noun), programme, £.</w:t>
      </w:r>
    </w:p>
    <w:p>
      <w:pPr>
        <w:pStyle w:val="Heading1"/>
        <w:spacing w:after="160" w:before="360"/>
      </w:pPr>
      <w:r>
        <w:rPr>
          <w:rFonts w:ascii="Cambria" w:cs="Cambria" w:eastAsia="Cambria" w:hAnsi="Cambria"/>
          <w:color w:val="1B2A4A"/>
          <w:sz w:val="36"/>
          <w:szCs w:val="36"/>
        </w:rPr>
        <w:t xml:space="preserve">11. Implementation</w:t>
      </w:r>
    </w:p>
    <w:p>
      <w:pPr>
        <w:pStyle w:val="Heading2"/>
        <w:spacing w:after="100" w:before="240"/>
      </w:pPr>
      <w:r>
        <w:rPr>
          <w:rFonts w:ascii="Cambria" w:cs="Cambria" w:eastAsia="Cambria" w:hAnsi="Cambria"/>
          <w:color w:val="C1533C"/>
          <w:sz w:val="28"/>
          <w:szCs w:val="28"/>
        </w:rPr>
        <w:t xml:space="preserve">Package contents</w:t>
      </w:r>
    </w:p>
    <w:tbl>
      <w:tblPr>
        <w:tblW w:type="dxa" w:w="9360"/>
        <w:tblBorders>
          <w:top w:val="single" w:color="DFE5EE" w:sz="4"/>
          <w:left w:val="none" w:sz="0"/>
          <w:bottom w:val="single" w:color="DFE5EE" w:sz="4"/>
          <w:right w:val="none" w:sz="0"/>
          <w:insideH w:val="single" w:color="DFE5EE" w:sz="4"/>
          <w:insideV w:val="none" w:sz="0"/>
        </w:tblBorders>
      </w:tblPr>
      <w:tblGrid>
        <w:gridCol w:w="3400"/>
        <w:gridCol w:w="5960"/>
      </w:tblGrid>
      <w:tr>
        <w:trPr>
          <w:tblHeader/>
        </w:trPr>
        <w:tc>
          <w:tcPr>
            <w:tcW w:type="dxa" w:w="340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Path</w:t>
            </w:r>
          </w:p>
        </w:tc>
        <w:tc>
          <w:tcPr>
            <w:tcW w:type="dxa" w:w="5960"/>
            <w:shd w:fill="E7ECF3" w:color="auto" w:val="clear"/>
            <w:tcMar>
              <w:top w:type="dxa" w:w="60"/>
              <w:left w:type="dxa" w:w="90"/>
              <w:bottom w:type="dxa" w:w="60"/>
              <w:right w:type="dxa" w:w="90"/>
            </w:tcMar>
          </w:tcPr>
          <w:p>
            <w:pPr>
              <w:spacing w:after="0"/>
            </w:pPr>
            <w:r>
              <w:rPr>
                <w:rFonts w:ascii="Calibri" w:cs="Calibri" w:eastAsia="Calibri" w:hAnsi="Calibri"/>
                <w:b/>
                <w:bCs/>
                <w:color w:val="1B2A4A"/>
                <w:sz w:val="19"/>
                <w:szCs w:val="19"/>
              </w:rPr>
              <w:t xml:space="preserve">Purpose</w:t>
            </w:r>
          </w:p>
        </w:tc>
      </w:tr>
      <w:tr>
        <w:tc>
          <w:tcPr>
            <w:tcW w:type="dxa" w:w="3400"/>
            <w:tcMar>
              <w:top w:type="dxa" w:w="60"/>
              <w:left w:type="dxa" w:w="90"/>
              <w:bottom w:type="dxa" w:w="60"/>
              <w:right w:type="dxa" w:w="90"/>
            </w:tcMar>
          </w:tcPr>
          <w:p>
            <w:pPr>
              <w:spacing w:after="0"/>
            </w:pPr>
            <w:r>
              <w:rPr>
                <w:rFonts w:ascii="Calibri" w:cs="Calibri" w:eastAsia="Calibri" w:hAnsi="Calibri"/>
                <w:color w:val="1B2A4A"/>
                <w:sz w:val="19"/>
                <w:szCs w:val="19"/>
              </w:rPr>
              <w:t xml:space="preserve">tokens/tokens.css</w:t>
            </w:r>
          </w:p>
        </w:tc>
        <w:tc>
          <w:tcPr>
            <w:tcW w:type="dxa" w:w="5960"/>
            <w:tcMar>
              <w:top w:type="dxa" w:w="60"/>
              <w:left w:type="dxa" w:w="90"/>
              <w:bottom w:type="dxa" w:w="60"/>
              <w:right w:type="dxa" w:w="90"/>
            </w:tcMar>
          </w:tcPr>
          <w:p>
            <w:pPr>
              <w:spacing w:after="0"/>
            </w:pPr>
            <w:r>
              <w:rPr>
                <w:rFonts w:ascii="Calibri" w:cs="Calibri" w:eastAsia="Calibri" w:hAnsi="Calibri"/>
                <w:color w:val="1B2A4A"/>
                <w:sz w:val="19"/>
                <w:szCs w:val="19"/>
              </w:rPr>
              <w:t xml:space="preserve">All tokens as CSS custom properties; light, dark and auto</w:t>
            </w:r>
          </w:p>
        </w:tc>
      </w:tr>
      <w:tr>
        <w:tc>
          <w:tcPr>
            <w:tcW w:type="dxa" w:w="3400"/>
            <w:tcMar>
              <w:top w:type="dxa" w:w="60"/>
              <w:left w:type="dxa" w:w="90"/>
              <w:bottom w:type="dxa" w:w="60"/>
              <w:right w:type="dxa" w:w="90"/>
            </w:tcMar>
          </w:tcPr>
          <w:p>
            <w:pPr>
              <w:spacing w:after="0"/>
            </w:pPr>
            <w:r>
              <w:rPr>
                <w:rFonts w:ascii="Calibri" w:cs="Calibri" w:eastAsia="Calibri" w:hAnsi="Calibri"/>
                <w:color w:val="1B2A4A"/>
                <w:sz w:val="19"/>
                <w:szCs w:val="19"/>
              </w:rPr>
              <w:t xml:space="preserve">tokens/tokens.json</w:t>
            </w:r>
          </w:p>
        </w:tc>
        <w:tc>
          <w:tcPr>
            <w:tcW w:type="dxa" w:w="5960"/>
            <w:tcMar>
              <w:top w:type="dxa" w:w="60"/>
              <w:left w:type="dxa" w:w="90"/>
              <w:bottom w:type="dxa" w:w="60"/>
              <w:right w:type="dxa" w:w="90"/>
            </w:tcMar>
          </w:tcPr>
          <w:p>
            <w:pPr>
              <w:spacing w:after="0"/>
            </w:pPr>
            <w:r>
              <w:rPr>
                <w:rFonts w:ascii="Calibri" w:cs="Calibri" w:eastAsia="Calibri" w:hAnsi="Calibri"/>
                <w:color w:val="1B2A4A"/>
                <w:sz w:val="19"/>
                <w:szCs w:val="19"/>
              </w:rPr>
              <w:t xml:space="preserve">W3C Design Tokens format for Figma (Tokens Studio) or Style Dictionary</w:t>
            </w:r>
          </w:p>
        </w:tc>
      </w:tr>
      <w:tr>
        <w:tc>
          <w:tcPr>
            <w:tcW w:type="dxa" w:w="3400"/>
            <w:tcMar>
              <w:top w:type="dxa" w:w="60"/>
              <w:left w:type="dxa" w:w="90"/>
              <w:bottom w:type="dxa" w:w="60"/>
              <w:right w:type="dxa" w:w="90"/>
            </w:tcMar>
          </w:tcPr>
          <w:p>
            <w:pPr>
              <w:spacing w:after="0"/>
            </w:pPr>
            <w:r>
              <w:rPr>
                <w:rFonts w:ascii="Calibri" w:cs="Calibri" w:eastAsia="Calibri" w:hAnsi="Calibri"/>
                <w:color w:val="1B2A4A"/>
                <w:sz w:val="19"/>
                <w:szCs w:val="19"/>
              </w:rPr>
              <w:t xml:space="preserve">tokens/tailwind.preset.js</w:t>
            </w:r>
          </w:p>
        </w:tc>
        <w:tc>
          <w:tcPr>
            <w:tcW w:type="dxa" w:w="5960"/>
            <w:tcMar>
              <w:top w:type="dxa" w:w="60"/>
              <w:left w:type="dxa" w:w="90"/>
              <w:bottom w:type="dxa" w:w="60"/>
              <w:right w:type="dxa" w:w="90"/>
            </w:tcMar>
          </w:tcPr>
          <w:p>
            <w:pPr>
              <w:spacing w:after="0"/>
            </w:pPr>
            <w:r>
              <w:rPr>
                <w:rFonts w:ascii="Calibri" w:cs="Calibri" w:eastAsia="Calibri" w:hAnsi="Calibri"/>
                <w:color w:val="1B2A4A"/>
                <w:sz w:val="19"/>
                <w:szCs w:val="19"/>
              </w:rPr>
              <w:t xml:space="preserve">Tailwind v3 preset: colours, fonts, sizes, radius, shadow mapped to tokens</w:t>
            </w:r>
          </w:p>
        </w:tc>
      </w:tr>
      <w:tr>
        <w:tc>
          <w:tcPr>
            <w:tcW w:type="dxa" w:w="3400"/>
            <w:tcMar>
              <w:top w:type="dxa" w:w="60"/>
              <w:left w:type="dxa" w:w="90"/>
              <w:bottom w:type="dxa" w:w="60"/>
              <w:right w:type="dxa" w:w="90"/>
            </w:tcMar>
          </w:tcPr>
          <w:p>
            <w:pPr>
              <w:spacing w:after="0"/>
            </w:pPr>
            <w:r>
              <w:rPr>
                <w:rFonts w:ascii="Calibri" w:cs="Calibri" w:eastAsia="Calibri" w:hAnsi="Calibri"/>
                <w:color w:val="1B2A4A"/>
                <w:sz w:val="19"/>
                <w:szCs w:val="19"/>
              </w:rPr>
              <w:t xml:space="preserve">css/vixiv.css</w:t>
            </w:r>
          </w:p>
        </w:tc>
        <w:tc>
          <w:tcPr>
            <w:tcW w:type="dxa" w:w="5960"/>
            <w:tcMar>
              <w:top w:type="dxa" w:w="60"/>
              <w:left w:type="dxa" w:w="90"/>
              <w:bottom w:type="dxa" w:w="60"/>
              <w:right w:type="dxa" w:w="90"/>
            </w:tcMar>
          </w:tcPr>
          <w:p>
            <w:pPr>
              <w:spacing w:after="0"/>
            </w:pPr>
            <w:r>
              <w:rPr>
                <w:rFonts w:ascii="Calibri" w:cs="Calibri" w:eastAsia="Calibri" w:hAnsi="Calibri"/>
                <w:color w:val="1B2A4A"/>
                <w:sz w:val="19"/>
                <w:szCs w:val="19"/>
              </w:rPr>
              <w:t xml:space="preserve">Component classes (vx-*), print rules</w:t>
            </w:r>
          </w:p>
        </w:tc>
      </w:tr>
      <w:tr>
        <w:tc>
          <w:tcPr>
            <w:tcW w:type="dxa" w:w="3400"/>
            <w:tcMar>
              <w:top w:type="dxa" w:w="60"/>
              <w:left w:type="dxa" w:w="90"/>
              <w:bottom w:type="dxa" w:w="60"/>
              <w:right w:type="dxa" w:w="90"/>
            </w:tcMar>
          </w:tcPr>
          <w:p>
            <w:pPr>
              <w:spacing w:after="0"/>
            </w:pPr>
            <w:r>
              <w:rPr>
                <w:rFonts w:ascii="Calibri" w:cs="Calibri" w:eastAsia="Calibri" w:hAnsi="Calibri"/>
                <w:color w:val="1B2A4A"/>
                <w:sz w:val="19"/>
                <w:szCs w:val="19"/>
              </w:rPr>
              <w:t xml:space="preserve">react/index.jsx</w:t>
            </w:r>
          </w:p>
        </w:tc>
        <w:tc>
          <w:tcPr>
            <w:tcW w:type="dxa" w:w="5960"/>
            <w:tcMar>
              <w:top w:type="dxa" w:w="60"/>
              <w:left w:type="dxa" w:w="90"/>
              <w:bottom w:type="dxa" w:w="60"/>
              <w:right w:type="dxa" w:w="90"/>
            </w:tcMar>
          </w:tcPr>
          <w:p>
            <w:pPr>
              <w:spacing w:after="0"/>
            </w:pPr>
            <w:r>
              <w:rPr>
                <w:rFonts w:ascii="Calibri" w:cs="Calibri" w:eastAsia="Calibri" w:hAnsi="Calibri"/>
                <w:color w:val="1B2A4A"/>
                <w:sz w:val="19"/>
                <w:szCs w:val="19"/>
              </w:rPr>
              <w:t xml:space="preserve">React components with no dependencies</w:t>
            </w:r>
          </w:p>
        </w:tc>
      </w:tr>
      <w:tr>
        <w:tc>
          <w:tcPr>
            <w:tcW w:type="dxa" w:w="3400"/>
            <w:tcMar>
              <w:top w:type="dxa" w:w="60"/>
              <w:left w:type="dxa" w:w="90"/>
              <w:bottom w:type="dxa" w:w="60"/>
              <w:right w:type="dxa" w:w="90"/>
            </w:tcMar>
          </w:tcPr>
          <w:p>
            <w:pPr>
              <w:spacing w:after="0"/>
            </w:pPr>
            <w:r>
              <w:rPr>
                <w:rFonts w:ascii="Calibri" w:cs="Calibri" w:eastAsia="Calibri" w:hAnsi="Calibri"/>
                <w:color w:val="1B2A4A"/>
                <w:sz w:val="19"/>
                <w:szCs w:val="19"/>
              </w:rPr>
              <w:t xml:space="preserve">demo/index.html</w:t>
            </w:r>
          </w:p>
        </w:tc>
        <w:tc>
          <w:tcPr>
            <w:tcW w:type="dxa" w:w="5960"/>
            <w:tcMar>
              <w:top w:type="dxa" w:w="60"/>
              <w:left w:type="dxa" w:w="90"/>
              <w:bottom w:type="dxa" w:w="60"/>
              <w:right w:type="dxa" w:w="90"/>
            </w:tcMar>
          </w:tcPr>
          <w:p>
            <w:pPr>
              <w:spacing w:after="0"/>
            </w:pPr>
            <w:r>
              <w:rPr>
                <w:rFonts w:ascii="Calibri" w:cs="Calibri" w:eastAsia="Calibri" w:hAnsi="Calibri"/>
                <w:color w:val="1B2A4A"/>
                <w:sz w:val="19"/>
                <w:szCs w:val="19"/>
              </w:rPr>
              <w:t xml:space="preserve">Component sheet for visual regression in both themes</w:t>
            </w:r>
          </w:p>
        </w:tc>
      </w:tr>
      <w:tr>
        <w:tc>
          <w:tcPr>
            <w:tcW w:type="dxa" w:w="3400"/>
            <w:tcMar>
              <w:top w:type="dxa" w:w="60"/>
              <w:left w:type="dxa" w:w="90"/>
              <w:bottom w:type="dxa" w:w="60"/>
              <w:right w:type="dxa" w:w="90"/>
            </w:tcMar>
          </w:tcPr>
          <w:p>
            <w:pPr>
              <w:spacing w:after="0"/>
            </w:pPr>
            <w:r>
              <w:rPr>
                <w:rFonts w:ascii="Calibri" w:cs="Calibri" w:eastAsia="Calibri" w:hAnsi="Calibri"/>
                <w:color w:val="1B2A4A"/>
                <w:sz w:val="19"/>
                <w:szCs w:val="19"/>
              </w:rPr>
              <w:t xml:space="preserve">README.md, MIGRATION_DEALSDASH.md</w:t>
            </w:r>
          </w:p>
        </w:tc>
        <w:tc>
          <w:tcPr>
            <w:tcW w:type="dxa" w:w="5960"/>
            <w:tcMar>
              <w:top w:type="dxa" w:w="60"/>
              <w:left w:type="dxa" w:w="90"/>
              <w:bottom w:type="dxa" w:w="60"/>
              <w:right w:type="dxa" w:w="90"/>
            </w:tcMar>
          </w:tcPr>
          <w:p>
            <w:pPr>
              <w:spacing w:after="0"/>
            </w:pPr>
            <w:r>
              <w:rPr>
                <w:rFonts w:ascii="Calibri" w:cs="Calibri" w:eastAsia="Calibri" w:hAnsi="Calibri"/>
                <w:color w:val="1B2A4A"/>
                <w:sz w:val="19"/>
                <w:szCs w:val="19"/>
              </w:rPr>
              <w:t xml:space="preserve">Install and migration instructions</w:t>
            </w:r>
          </w:p>
        </w:tc>
      </w:tr>
    </w:tbl>
    <w:p>
      <w:pPr>
        <w:spacing w:after="120"/>
      </w:pPr>
    </w:p>
    <w:p>
      <w:pPr>
        <w:pStyle w:val="Heading2"/>
        <w:spacing w:after="100" w:before="240"/>
      </w:pPr>
      <w:r>
        <w:rPr>
          <w:rFonts w:ascii="Cambria" w:cs="Cambria" w:eastAsia="Cambria" w:hAnsi="Cambria"/>
          <w:color w:val="C1533C"/>
          <w:sz w:val="28"/>
          <w:szCs w:val="28"/>
        </w:rPr>
        <w:t xml:space="preserve">Install</w:t>
      </w:r>
    </w:p>
    <w:p>
      <w:pPr>
        <w:shd w:fill="F5F7FA" w:color="auto" w:val="clear"/>
        <w:spacing w:after="60"/>
      </w:pPr>
      <w:r>
        <w:rPr>
          <w:rFonts w:ascii="Consolas" w:cs="Consolas" w:eastAsia="Consolas" w:hAnsi="Consolas"/>
          <w:color w:val="1B2A4A"/>
          <w:sz w:val="18"/>
          <w:szCs w:val="18"/>
        </w:rPr>
        <w:t xml:space="preserve">import "./design-system/tokens/tokens.css";</w:t>
      </w:r>
    </w:p>
    <w:p>
      <w:pPr>
        <w:shd w:fill="F5F7FA" w:color="auto" w:val="clear"/>
        <w:spacing w:after="60"/>
      </w:pPr>
      <w:r>
        <w:rPr>
          <w:rFonts w:ascii="Consolas" w:cs="Consolas" w:eastAsia="Consolas" w:hAnsi="Consolas"/>
          <w:color w:val="1B2A4A"/>
          <w:sz w:val="18"/>
          <w:szCs w:val="18"/>
        </w:rPr>
        <w:t xml:space="preserve">import "./design-system/css/vixiv.css";</w:t>
      </w:r>
    </w:p>
    <w:p>
      <w:pPr>
        <w:shd w:fill="F5F7FA" w:color="auto" w:val="clear"/>
        <w:spacing w:after="60"/>
      </w:pPr>
      <w:r>
        <w:rPr>
          <w:rFonts w:ascii="Consolas" w:cs="Consolas" w:eastAsia="Consolas" w:hAnsi="Consolas"/>
          <w:color w:val="1B2A4A"/>
          <w:sz w:val="18"/>
          <w:szCs w:val="18"/>
        </w:rPr>
        <w:t xml:space="preserve">import { ThemeProvider } from "./design-system/react";</w:t>
      </w:r>
    </w:p>
    <w:p>
      <w:pPr>
        <w:shd w:fill="F5F7FA" w:color="auto" w:val="clear"/>
        <w:spacing w:after="60"/>
      </w:pPr>
      <w:r>
        <w:rPr>
          <w:rFonts w:ascii="Consolas" w:cs="Consolas" w:eastAsia="Consolas" w:hAnsi="Consolas"/>
          <w:color w:val="1B2A4A"/>
          <w:sz w:val="18"/>
          <w:szCs w:val="18"/>
        </w:rPr>
        <w:t xml:space="preserve">root.render(&lt;ThemeProvider initial="auto"&gt;&lt;App /&gt;&lt;/ThemeProvider&gt;);</w:t>
      </w:r>
    </w:p>
    <w:p>
      <w:pPr>
        <w:spacing w:after="120"/>
      </w:pPr>
    </w:p>
    <w:p>
      <w:pPr>
        <w:spacing w:after="120" w:line="276"/>
      </w:pPr>
      <w:r>
        <w:rPr>
          <w:rFonts w:ascii="Calibri" w:cs="Calibri" w:eastAsia="Calibri" w:hAnsi="Calibri"/>
          <w:color w:val="1B2A4A"/>
          <w:sz w:val="22"/>
          <w:szCs w:val="22"/>
        </w:rPr>
        <w:t xml:space="preserve">With Tailwind, add the preset to tailwind.config.js and use the vx-* colour utilities (bg-vx-surface, text-vx-muted, border-brick, font-head). Both approaches can coexist in one codebase during migration.</w:t>
      </w:r>
    </w:p>
    <w:p>
      <w:pPr>
        <w:pStyle w:val="Heading2"/>
        <w:spacing w:after="100" w:before="240"/>
      </w:pPr>
      <w:r>
        <w:rPr>
          <w:rFonts w:ascii="Cambria" w:cs="Cambria" w:eastAsia="Cambria" w:hAnsi="Cambria"/>
          <w:color w:val="C1533C"/>
          <w:sz w:val="28"/>
          <w:szCs w:val="28"/>
        </w:rPr>
        <w:t xml:space="preserve">DealsDash migration summary</w:t>
      </w:r>
    </w:p>
    <w:p>
      <w:pPr>
        <w:spacing w:after="120" w:line="276"/>
      </w:pPr>
      <w:r>
        <w:rPr>
          <w:rFonts w:ascii="Calibri" w:cs="Calibri" w:eastAsia="Calibri" w:hAnsi="Calibri"/>
          <w:color w:val="1B2A4A"/>
          <w:sz w:val="22"/>
          <w:szCs w:val="22"/>
        </w:rPr>
        <w:t xml:space="preserve">DealsDash uses compiled Tailwind v3 with a slate and teal palette, a system sans font and a fixed vertical sidebar. Migration is five phases, detailed in MIGRATION_DEALSDASH.md:</w:t>
      </w:r>
    </w:p>
    <w:p>
      <w:pPr>
        <w:pStyle w:val="ListParagraph"/>
        <w:numPr>
          <w:ilvl w:val="0"/>
          <w:numId w:val="3"/>
        </w:numPr>
        <w:spacing w:after="60"/>
      </w:pPr>
      <w:r>
        <w:rPr>
          <w:rFonts w:ascii="Calibri" w:cs="Calibri" w:eastAsia="Calibri" w:hAnsi="Calibri"/>
          <w:color w:val="1B2A4A"/>
          <w:sz w:val="22"/>
          <w:szCs w:val="22"/>
        </w:rPr>
        <w:t xml:space="preserve">Tokens: import tokens.css and vixiv.css, add the preset, set data-theme=auto and class vx-root. No visual change except the font.</w:t>
      </w:r>
    </w:p>
    <w:p>
      <w:pPr>
        <w:pStyle w:val="ListParagraph"/>
        <w:numPr>
          <w:ilvl w:val="0"/>
          <w:numId w:val="3"/>
        </w:numPr>
        <w:spacing w:after="60"/>
      </w:pPr>
      <w:r>
        <w:rPr>
          <w:rFonts w:ascii="Calibri" w:cs="Calibri" w:eastAsia="Calibri" w:hAnsi="Calibri"/>
          <w:color w:val="1B2A4A"/>
          <w:sz w:val="22"/>
          <w:szCs w:val="22"/>
        </w:rPr>
        <w:t xml:space="preserve">Palette swap: mechanical find-and-replace of slate/teal utilities for vx tokens (table in the migration guide).</w:t>
      </w:r>
    </w:p>
    <w:p>
      <w:pPr>
        <w:pStyle w:val="ListParagraph"/>
        <w:numPr>
          <w:ilvl w:val="0"/>
          <w:numId w:val="3"/>
        </w:numPr>
        <w:spacing w:after="60"/>
      </w:pPr>
      <w:r>
        <w:rPr>
          <w:rFonts w:ascii="Calibri" w:cs="Calibri" w:eastAsia="Calibri" w:hAnsi="Calibri"/>
          <w:color w:val="1B2A4A"/>
          <w:sz w:val="22"/>
          <w:szCs w:val="22"/>
        </w:rPr>
        <w:t xml:space="preserve">Component adoption module by module: Sourcing Pipeline → Deal Appraisal → Capital &amp; Cash → Business Planner → Rental → Legal pack. Add a live bar to Deal Appraisal and Business Planner.</w:t>
      </w:r>
    </w:p>
    <w:p>
      <w:pPr>
        <w:pStyle w:val="ListParagraph"/>
        <w:numPr>
          <w:ilvl w:val="0"/>
          <w:numId w:val="3"/>
        </w:numPr>
        <w:spacing w:after="60"/>
      </w:pPr>
      <w:r>
        <w:rPr>
          <w:rFonts w:ascii="Calibri" w:cs="Calibri" w:eastAsia="Calibri" w:hAnsi="Calibri"/>
          <w:color w:val="1B2A4A"/>
          <w:sz w:val="22"/>
          <w:szCs w:val="22"/>
        </w:rPr>
        <w:t xml:space="preserve">Dark mode QA against the component sheet; add a theme toggle to Settings.</w:t>
      </w:r>
    </w:p>
    <w:p>
      <w:pPr>
        <w:pStyle w:val="ListParagraph"/>
        <w:numPr>
          <w:ilvl w:val="0"/>
          <w:numId w:val="3"/>
        </w:numPr>
        <w:spacing w:after="60"/>
      </w:pPr>
      <w:r>
        <w:rPr>
          <w:rFonts w:ascii="Calibri" w:cs="Calibri" w:eastAsia="Calibri" w:hAnsi="Calibri"/>
          <w:color w:val="1B2A4A"/>
          <w:sz w:val="22"/>
          <w:szCs w:val="22"/>
        </w:rPr>
        <w:t xml:space="preserve">Import the Refurb Survey as a module sharing the same system so appraisal and survey read as one product.</w:t>
      </w:r>
    </w:p>
    <w:p>
      <w:pPr>
        <w:pBdr>
          <w:left w:val="single" w:color="C1533C" w:sz="24" w:space="6"/>
        </w:pBdr>
        <w:shd w:fill="E7ECF3" w:color="auto" w:val="clear"/>
        <w:spacing w:after="160"/>
        <w:ind w:left="120"/>
      </w:pPr>
      <w:r>
        <w:rPr>
          <w:rFonts w:ascii="Calibri" w:cs="Calibri" w:eastAsia="Calibri" w:hAnsi="Calibri"/>
          <w:color w:val="1B2A4A"/>
          <w:sz w:val="20"/>
          <w:szCs w:val="20"/>
        </w:rPr>
        <w:t xml:space="preserve">Done when: grep for slate-, teal-, #14b8a6 and #f5f5f4 returns nothing; the Playwright suite passes with colorScheme light and dark; a printed appraisal matches the Refurb Survey report layout.</w:t>
      </w:r>
    </w:p>
    <w:p>
      <w:pPr>
        <w:pStyle w:val="Heading1"/>
        <w:spacing w:after="160" w:before="360"/>
      </w:pPr>
      <w:r>
        <w:rPr>
          <w:rFonts w:ascii="Cambria" w:cs="Cambria" w:eastAsia="Cambria" w:hAnsi="Cambria"/>
          <w:color w:val="1B2A4A"/>
          <w:sz w:val="36"/>
          <w:szCs w:val="36"/>
        </w:rPr>
        <w:t xml:space="preserve">12. Governance</w:t>
      </w:r>
    </w:p>
    <w:p>
      <w:pPr>
        <w:pStyle w:val="ListParagraph"/>
        <w:numPr>
          <w:ilvl w:val="0"/>
          <w:numId w:val="2"/>
        </w:numPr>
        <w:spacing w:after="60"/>
      </w:pPr>
      <w:r>
        <w:rPr>
          <w:rFonts w:ascii="Calibri" w:cs="Calibri" w:eastAsia="Calibri" w:hAnsi="Calibri"/>
          <w:color w:val="1B2A4A"/>
          <w:sz w:val="22"/>
          <w:szCs w:val="22"/>
        </w:rPr>
        <w:t xml:space="preserve">Semantic versioning. Adding a token or component is a minor release; renaming or removing one is a major release with a migration note.</w:t>
      </w:r>
    </w:p>
    <w:p>
      <w:pPr>
        <w:pStyle w:val="ListParagraph"/>
        <w:numPr>
          <w:ilvl w:val="0"/>
          <w:numId w:val="2"/>
        </w:numPr>
        <w:spacing w:after="60"/>
      </w:pPr>
      <w:r>
        <w:rPr>
          <w:rFonts w:ascii="Calibri" w:cs="Calibri" w:eastAsia="Calibri" w:hAnsi="Calibri"/>
          <w:color w:val="1B2A4A"/>
          <w:sz w:val="22"/>
          <w:szCs w:val="22"/>
        </w:rPr>
        <w:t xml:space="preserve">Every change updates tokens.css first, then tokens.json, the preset, this document and the component sheet, in that order.</w:t>
      </w:r>
    </w:p>
    <w:p>
      <w:pPr>
        <w:pStyle w:val="ListParagraph"/>
        <w:numPr>
          <w:ilvl w:val="0"/>
          <w:numId w:val="2"/>
        </w:numPr>
        <w:spacing w:after="60"/>
      </w:pPr>
      <w:r>
        <w:rPr>
          <w:rFonts w:ascii="Calibri" w:cs="Calibri" w:eastAsia="Calibri" w:hAnsi="Calibri"/>
          <w:color w:val="1B2A4A"/>
          <w:sz w:val="22"/>
          <w:szCs w:val="22"/>
        </w:rPr>
        <w:t xml:space="preserve">New components must be shown on the component sheet in both themes before use in a product.</w:t>
      </w:r>
    </w:p>
    <w:p>
      <w:pPr>
        <w:pStyle w:val="ListParagraph"/>
        <w:numPr>
          <w:ilvl w:val="0"/>
          <w:numId w:val="2"/>
        </w:numPr>
        <w:spacing w:after="60"/>
      </w:pPr>
      <w:r>
        <w:rPr>
          <w:rFonts w:ascii="Calibri" w:cs="Calibri" w:eastAsia="Calibri" w:hAnsi="Calibri"/>
          <w:color w:val="1B2A4A"/>
          <w:sz w:val="22"/>
          <w:szCs w:val="22"/>
        </w:rPr>
        <w:t xml:space="preserve">Products declare which version they are on in their README; all VIXIV products should be within one major version of each other.</w:t>
      </w:r>
    </w:p>
    <w:p>
      <w:pPr>
        <w:pStyle w:val="Heading2"/>
        <w:spacing w:after="100" w:before="240"/>
      </w:pPr>
      <w:r>
        <w:rPr>
          <w:rFonts w:ascii="Cambria" w:cs="Cambria" w:eastAsia="Cambria" w:hAnsi="Cambria"/>
          <w:color w:val="C1533C"/>
          <w:sz w:val="28"/>
          <w:szCs w:val="28"/>
        </w:rPr>
        <w:t xml:space="preserve">Open items</w:t>
      </w:r>
    </w:p>
    <w:p>
      <w:pPr>
        <w:pStyle w:val="ListParagraph"/>
        <w:numPr>
          <w:ilvl w:val="0"/>
          <w:numId w:val="2"/>
        </w:numPr>
        <w:spacing w:after="60"/>
      </w:pPr>
      <w:r>
        <w:rPr>
          <w:rFonts w:ascii="Calibri" w:cs="Calibri" w:eastAsia="Calibri" w:hAnsi="Calibri"/>
          <w:color w:val="1B2A4A"/>
          <w:sz w:val="22"/>
          <w:szCs w:val="22"/>
        </w:rPr>
        <w:t xml:space="preserve">Typeface licensing: Cambria and Calibri are Microsoft fonts and are not web-embeddable. Products rely on the system fallbacks (Georgia / Segoe UI on Windows; Hoefler Text / Helvetica on macOS and iOS; DejaVu on Linux). A licensed or open web equivalent (for example Source Serif 4 and Source Sans 3) should be selected for the corporate website — decision required.</w:t>
      </w:r>
    </w:p>
    <w:p>
      <w:pPr>
        <w:pStyle w:val="ListParagraph"/>
        <w:numPr>
          <w:ilvl w:val="0"/>
          <w:numId w:val="2"/>
        </w:numPr>
        <w:spacing w:after="60"/>
      </w:pPr>
      <w:r>
        <w:rPr>
          <w:rFonts w:ascii="Calibri" w:cs="Calibri" w:eastAsia="Calibri" w:hAnsi="Calibri"/>
          <w:color w:val="1B2A4A"/>
          <w:sz w:val="22"/>
          <w:szCs w:val="22"/>
        </w:rPr>
        <w:t xml:space="preserve">Iconography: lucide-react at 16 px is inherited from DealsDash and adopted provisionally; a review of icon usage across products is due at v1.1.</w:t>
      </w:r>
    </w:p>
    <w:p>
      <w:pPr>
        <w:pStyle w:val="ListParagraph"/>
        <w:numPr>
          <w:ilvl w:val="0"/>
          <w:numId w:val="2"/>
        </w:numPr>
        <w:spacing w:after="60"/>
      </w:pPr>
      <w:r>
        <w:rPr>
          <w:rFonts w:ascii="Calibri" w:cs="Calibri" w:eastAsia="Calibri" w:hAnsi="Calibri"/>
          <w:color w:val="1B2A4A"/>
          <w:sz w:val="22"/>
          <w:szCs w:val="22"/>
        </w:rPr>
        <w:t xml:space="preserve">Data visualisation tokens (chart series colours) are not yet defined; charts in DealsDash should use Navy, Brick and muted greys until they are.</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670"/>
        <w:sz w:val="18"/>
        <w:szCs w:val="18"/>
      </w:rPr>
      <w:t xml:space="preserve">VIXIV LTD · Company No. 17414140 · vixiv.co.uk · Page </w:t>
    </w:r>
    <w:r>
      <w:rPr>
        <w:rFonts w:ascii="Calibri" w:cs="Calibri" w:eastAsia="Calibri" w:hAnsi="Calibri"/>
        <w:color w:val="4A56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A5670"/>
        <w:sz w:val="18"/>
        <w:szCs w:val="18"/>
      </w:rPr>
      <w:t xml:space="preserve">VIXIV Design Standard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color w:val="1B2A4A"/>
      <w:sz w:val="36"/>
      <w:szCs w:val="36"/>
    </w:rPr>
  </w:style>
  <w:style w:type="paragraph" w:styleId="Heading2">
    <w:name w:val="Heading 2"/>
    <w:basedOn w:val="Normal"/>
    <w:next w:val="Normal"/>
    <w:qFormat/>
    <w:pPr>
      <w:spacing w:after="100" w:before="240"/>
      <w:outlineLvl w:val="1"/>
    </w:pPr>
    <w:rPr>
      <w:rFonts w:ascii="Cambria" w:cs="Cambria" w:eastAsia="Cambria" w:hAnsi="Cambria"/>
      <w:color w:val="C1533C"/>
      <w:sz w:val="28"/>
      <w:szCs w:val="28"/>
    </w:rPr>
  </w:style>
  <w:style w:type="paragraph" w:styleId="Heading3">
    <w:name w:val="Heading 3"/>
    <w:basedOn w:val="Normal"/>
    <w:next w:val="Normal"/>
    <w:qFormat/>
    <w:pPr>
      <w:spacing w:after="60" w:before="160"/>
      <w:outlineLvl w:val="2"/>
    </w:pPr>
    <w:rPr>
      <w:rFonts w:ascii="Cambria" w:cs="Cambria" w:eastAsia="Cambria" w:hAnsi="Cambria"/>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VIXIV Design Standard v1.0</dc:title>
  <dc:creator>VIXIV LTD</dc:creator>
  <cp:lastModifiedBy>Un-named</cp:lastModifiedBy>
  <cp:revision>1</cp:revision>
  <dcterms:created xsi:type="dcterms:W3CDTF">2026-09-05T09:39:49.188Z</dcterms:created>
  <dcterms:modified xsi:type="dcterms:W3CDTF">2026-09-05T09:39:49.199Z</dcterms:modified>
</cp:coreProperties>
</file>

<file path=docProps/custom.xml><?xml version="1.0" encoding="utf-8"?>
<Properties xmlns="http://schemas.openxmlformats.org/officeDocument/2006/custom-properties" xmlns:vt="http://schemas.openxmlformats.org/officeDocument/2006/docPropsVTypes"/>
</file>