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tats-day-3-expectation-and-variance"/>
      <w:r>
        <w:t xml:space="preserve">Stats Day 3: Expectation and Variance</w:t>
      </w:r>
      <w:bookmarkEnd w:id="20"/>
    </w:p>
    <w:p>
      <w:pPr>
        <w:pStyle w:val="FirstParagraph"/>
      </w:pPr>
      <w:r>
        <w:t xml:space="preserve">This is a really brief crash course in probability highlighs. But it’s good for you to</w:t>
      </w:r>
      <w:r>
        <w:t xml:space="preserve"> </w:t>
      </w:r>
      <w:r>
        <w:t xml:space="preserve">know at least a bit about where</w:t>
      </w:r>
      <w:r>
        <w:t xml:space="preserve"> </w:t>
      </w:r>
      <w:r>
        <w:t xml:space="preserve">“</w:t>
      </w:r>
      <w:r>
        <w:t xml:space="preserve">mean</w:t>
      </w:r>
      <w:r>
        <w:t xml:space="preserve">”</w:t>
      </w:r>
      <w:r>
        <w:t xml:space="preserve"> </w:t>
      </w:r>
      <w:r>
        <w:t xml:space="preserve">and</w:t>
      </w:r>
      <w:r>
        <w:t xml:space="preserve"> </w:t>
      </w:r>
      <w:r>
        <w:t xml:space="preserve">“</w:t>
      </w:r>
      <w:r>
        <w:t xml:space="preserve">variance</w:t>
      </w:r>
      <w:r>
        <w:t xml:space="preserve">”</w:t>
      </w:r>
      <w:r>
        <w:t xml:space="preserve"> </w:t>
      </w:r>
      <w:r>
        <w:t xml:space="preserve">and</w:t>
      </w:r>
      <w:r>
        <w:t xml:space="preserve"> </w:t>
      </w:r>
      <w:r>
        <w:t xml:space="preserve">“</w:t>
      </w:r>
      <w:r>
        <w:t xml:space="preserve">standard deviation</w:t>
      </w:r>
      <w:r>
        <w:t xml:space="preserve">”</w:t>
      </w:r>
      <w:r>
        <w:t xml:space="preserve"> </w:t>
      </w:r>
      <w:r>
        <w:t xml:space="preserve">actually</w:t>
      </w:r>
      <w:r>
        <w:t xml:space="preserve"> </w:t>
      </w:r>
      <w:r>
        <w:t xml:space="preserve">come from in order to really understand the statistics we’re going to be doing. We’ll do</w:t>
      </w:r>
      <w:r>
        <w:t xml:space="preserve"> </w:t>
      </w:r>
      <w:r>
        <w:t xml:space="preserve">a couple easy examples.</w:t>
      </w:r>
    </w:p>
    <w:p>
      <w:pPr>
        <w:pStyle w:val="Heading3"/>
      </w:pPr>
      <w:bookmarkStart w:id="21" w:name="expectation-of-the-uniform-distribution"/>
      <w:r>
        <w:t xml:space="preserve">Expectation of The Uniform Distribution</w:t>
      </w:r>
      <w:bookmarkEnd w:id="21"/>
    </w:p>
    <w:p>
      <w:pPr>
        <w:pStyle w:val="FirstParagraph"/>
      </w:pPr>
      <w:r>
        <w:t xml:space="preserve">In a uniform distribution, every outcome is equally likely. For example if you pick an integer between 1 and 4 from a hat,</w:t>
      </w:r>
      <w:r>
        <w:t xml:space="preserve"> </w:t>
      </w:r>
      <w:r>
        <w:t xml:space="preserve">every outcome has a probability of</w:t>
      </w:r>
      <w:r>
        <w:t xml:space="preserve"> </w:t>
      </w:r>
      <m:oMath>
        <m:f>
          <m:fPr>
            <m:type m:val="bar"/>
          </m:fPr>
          <m:num>
            <m:r>
              <m:t>1</m:t>
            </m:r>
          </m:num>
          <m:den>
            <m:r>
              <m:t>4</m:t>
            </m:r>
          </m:den>
        </m:f>
      </m:oMath>
      <w:r>
        <w:t xml:space="preserve">. We write this as a function</w:t>
      </w:r>
      <w:r>
        <w:t xml:space="preserve"> </w:t>
      </w:r>
      <m:oMath>
        <m:r>
          <m:t>p</m:t>
        </m:r>
        <m:r>
          <m:t>(</m:t>
        </m:r>
        <m:r>
          <m:t>x</m:t>
        </m:r>
        <m:r>
          <m:t>)</m:t>
        </m:r>
        <m:r>
          <m:t>=</m:t>
        </m:r>
        <m:f>
          <m:fPr>
            <m:type m:val="bar"/>
          </m:fPr>
          <m:num>
            <m:r>
              <m:t>1</m:t>
            </m:r>
          </m:num>
          <m:den>
            <m:r>
              <m:t>4</m:t>
            </m:r>
          </m:den>
        </m:f>
      </m:oMath>
      <w:r>
        <w:t xml:space="preserve">. The</w:t>
      </w:r>
      <w:r>
        <w:t xml:space="preserve"> </w:t>
      </w:r>
      <w:r>
        <w:rPr>
          <w:i/>
        </w:rPr>
        <w:t xml:space="preserve">expected value</w:t>
      </w:r>
      <w:r>
        <w:t xml:space="preserve"> </w:t>
      </w:r>
      <w:r>
        <w:t xml:space="preserve">of any</w:t>
      </w:r>
      <w:r>
        <w:t xml:space="preserve"> </w:t>
      </w:r>
      <w:r>
        <w:t xml:space="preserve">probability function</w:t>
      </w:r>
      <w:r>
        <w:t xml:space="preserve"> </w:t>
      </w:r>
      <m:oMath>
        <m:r>
          <m:t>p</m:t>
        </m:r>
        <m:r>
          <m:t>(</m:t>
        </m:r>
        <m:r>
          <m:t>x</m:t>
        </m:r>
        <m:r>
          <m:t>)</m:t>
        </m:r>
      </m:oMath>
      <w:r>
        <w:t xml:space="preserve"> </w:t>
      </w:r>
      <w:r>
        <w:t xml:space="preserve">is defined as</w:t>
      </w:r>
    </w:p>
    <w:p>
      <w:pPr>
        <w:pStyle w:val="BodyText"/>
      </w:pPr>
      <m:oMath>
        <m:r>
          <m:t>E</m:t>
        </m:r>
        <m:r>
          <m:t>(</m:t>
        </m:r>
        <m:r>
          <m:t>X</m:t>
        </m:r>
        <m:r>
          <m:t>)</m:t>
        </m:r>
        <m:r>
          <m:t>=</m:t>
        </m:r>
        <m:nary>
          <m:naryPr>
            <m:chr m:val="∑"/>
            <m:limLoc m:val="undOvr"/>
            <m:subHide m:val="0"/>
            <m:supHide m:val="1"/>
          </m:naryPr>
          <m:sub>
            <m:r>
              <m:t>x</m:t>
            </m:r>
          </m:sub>
          <m:sup>
            <m:r>
              <m:t>​</m:t>
            </m:r>
          </m:sup>
          <m:e>
            <m:r>
              <m:t>x</m:t>
            </m:r>
          </m:e>
        </m:nary>
        <m:r>
          <m:t>⋅</m:t>
        </m:r>
        <m:r>
          <m:t>p</m:t>
        </m:r>
        <m:r>
          <m:t>(</m:t>
        </m:r>
        <m:r>
          <m:t>x</m:t>
        </m:r>
        <m:r>
          <m:t>)</m:t>
        </m:r>
      </m:oMath>
      <w:r>
        <w:t xml:space="preserve">.</w:t>
      </w:r>
    </w:p>
    <w:p>
      <w:pPr>
        <w:pStyle w:val="BodyText"/>
      </w:pPr>
      <w:r>
        <w:t xml:space="preserve">In this case,</w:t>
      </w:r>
      <w:r>
        <w:t xml:space="preserve"> </w:t>
      </w:r>
      <m:oMath>
        <m:r>
          <m:t>E</m:t>
        </m:r>
        <m:r>
          <m:t>(</m:t>
        </m:r>
        <m:r>
          <m:t>X</m:t>
        </m:r>
        <m:r>
          <m:t>)</m:t>
        </m:r>
        <m:r>
          <m:t>=</m:t>
        </m:r>
        <m:r>
          <m:t>1</m:t>
        </m:r>
        <m:r>
          <m:t>⋅</m:t>
        </m:r>
        <m:f>
          <m:fPr>
            <m:type m:val="bar"/>
          </m:fPr>
          <m:num>
            <m:r>
              <m:t>1</m:t>
            </m:r>
          </m:num>
          <m:den>
            <m:r>
              <m:t>4</m:t>
            </m:r>
          </m:den>
        </m:f>
        <m:r>
          <m:t>+</m:t>
        </m:r>
        <m:r>
          <m:t>2</m:t>
        </m:r>
        <m:r>
          <m:t>⋅</m:t>
        </m:r>
        <m:f>
          <m:fPr>
            <m:type m:val="bar"/>
          </m:fPr>
          <m:num>
            <m:r>
              <m:t>1</m:t>
            </m:r>
          </m:num>
          <m:den>
            <m:r>
              <m:t>4</m:t>
            </m:r>
          </m:den>
        </m:f>
        <m:r>
          <m:t>+</m:t>
        </m:r>
        <m:r>
          <m:t>3</m:t>
        </m:r>
        <m:r>
          <m:t>⋅</m:t>
        </m:r>
        <m:f>
          <m:fPr>
            <m:type m:val="bar"/>
          </m:fPr>
          <m:num>
            <m:r>
              <m:t>1</m:t>
            </m:r>
          </m:num>
          <m:den>
            <m:r>
              <m:t>4</m:t>
            </m:r>
          </m:den>
        </m:f>
        <m:r>
          <m:t>+</m:t>
        </m:r>
        <m:r>
          <m:t>4</m:t>
        </m:r>
        <m:r>
          <m:t>⋅</m:t>
        </m:r>
        <m:f>
          <m:fPr>
            <m:type m:val="bar"/>
          </m:fPr>
          <m:num>
            <m:r>
              <m:t>1</m:t>
            </m:r>
          </m:num>
          <m:den>
            <m:r>
              <m:t>4</m:t>
            </m:r>
          </m:den>
        </m:f>
        <m:r>
          <m:t>=</m:t>
        </m:r>
        <m:f>
          <m:fPr>
            <m:type m:val="bar"/>
          </m:fPr>
          <m:num>
            <m:r>
              <m:t>10</m:t>
            </m:r>
          </m:num>
          <m:den>
            <m:r>
              <m:t>4</m:t>
            </m:r>
          </m:den>
        </m:f>
        <m:r>
          <m:t>=</m:t>
        </m:r>
        <m:r>
          <m:t>2.5</m:t>
        </m:r>
      </m:oMath>
    </w:p>
    <w:p>
      <w:pPr>
        <w:pStyle w:val="BodyText"/>
      </w:pPr>
      <w:r>
        <w:t xml:space="preserve">This means that picking an integer between 1 and 4 from a hat has an expected value at 2.5. Which may seem odd because you can never actually pick the integer</w:t>
      </w:r>
      <w:r>
        <w:t xml:space="preserve"> </w:t>
      </w:r>
      <w:r>
        <w:t xml:space="preserve">“</w:t>
      </w:r>
      <w:r>
        <w:t xml:space="preserve">2.5</w:t>
      </w:r>
      <w:r>
        <w:t xml:space="preserve">”</w:t>
      </w:r>
      <w:r>
        <w:t xml:space="preserve">. It’s not</w:t>
      </w:r>
      <w:r>
        <w:t xml:space="preserve"> </w:t>
      </w:r>
      <w:r>
        <w:t xml:space="preserve">“</w:t>
      </w:r>
      <w:r>
        <w:t xml:space="preserve">expected</w:t>
      </w:r>
      <w:r>
        <w:t xml:space="preserve">”</w:t>
      </w:r>
      <w:r>
        <w:t xml:space="preserve"> </w:t>
      </w:r>
      <w:r>
        <w:t xml:space="preserve">at all! But it is a</w:t>
      </w:r>
      <w:r>
        <w:t xml:space="preserve"> </w:t>
      </w:r>
      <w:r>
        <w:rPr>
          <w:i/>
        </w:rPr>
        <w:t xml:space="preserve">measure of central tendency</w:t>
      </w:r>
      <w:r>
        <w:t xml:space="preserve"> </w:t>
      </w:r>
      <w:r>
        <w:t xml:space="preserve">and that’s what makes it important. It’s an attempt to find the</w:t>
      </w:r>
      <w:r>
        <w:t xml:space="preserve"> </w:t>
      </w:r>
      <w:r>
        <w:t xml:space="preserve">“</w:t>
      </w:r>
      <w:r>
        <w:t xml:space="preserve">middle</w:t>
      </w:r>
      <w:r>
        <w:t xml:space="preserve">”</w:t>
      </w:r>
      <w:r>
        <w:t xml:space="preserve"> </w:t>
      </w:r>
      <w:r>
        <w:t xml:space="preserve">of the outcomes. We’ll see in some cases the expected value (aka</w:t>
      </w:r>
      <w:r>
        <w:t xml:space="preserve"> </w:t>
      </w:r>
      <w:r>
        <w:t xml:space="preserve">‘</w:t>
      </w:r>
      <w:r>
        <w:t xml:space="preserve">mean</w:t>
      </w:r>
      <w:r>
        <w:t xml:space="preserve">’</w:t>
      </w:r>
      <w:r>
        <w:t xml:space="preserve"> </w:t>
      </w:r>
      <w:r>
        <w:t xml:space="preserve">or</w:t>
      </w:r>
      <w:r>
        <w:t xml:space="preserve"> </w:t>
      </w:r>
      <w:r>
        <w:t xml:space="preserve">‘</w:t>
      </w:r>
      <w:r>
        <w:t xml:space="preserve">average</w:t>
      </w:r>
      <w:r>
        <w:t xml:space="preserve">’</w:t>
      </w:r>
      <w:r>
        <w:t xml:space="preserve">) is a good measure of central tendency and in some cases it’s quite bad.</w:t>
      </w:r>
    </w:p>
    <w:p>
      <w:pPr>
        <w:pStyle w:val="Heading3"/>
      </w:pPr>
      <w:bookmarkStart w:id="22" w:name="expectation-of-the-binomial-distribution"/>
      <w:r>
        <w:t xml:space="preserve">Expectation of The Binomial distribution</w:t>
      </w:r>
      <w:bookmarkEnd w:id="22"/>
    </w:p>
    <w:p>
      <w:pPr>
        <w:pStyle w:val="FirstParagraph"/>
      </w:pPr>
      <w:r>
        <w:t xml:space="preserve">What is the expected value of the binomial distribution when</w:t>
      </w:r>
      <w:r>
        <w:t xml:space="preserve"> </w:t>
      </w:r>
      <w:r>
        <w:t xml:space="preserve">the number of observations is 10 and the probability of success is 0.2? Remember the probability function is</w:t>
      </w:r>
      <w:r>
        <w:t xml:space="preserve"> </w:t>
      </w:r>
      <m:oMath>
        <m:r>
          <m:t>p</m:t>
        </m:r>
        <m:r>
          <m:t>(</m:t>
        </m:r>
        <m:r>
          <m:t>k</m:t>
        </m:r>
        <m:r>
          <m:t>;</m:t>
        </m:r>
        <m:r>
          <m:t>n</m:t>
        </m:r>
        <m:r>
          <m:t>,</m:t>
        </m:r>
        <m:r>
          <m:t>p</m:t>
        </m:r>
        <m:r>
          <m:t>)</m:t>
        </m:r>
        <m:r>
          <m:t>=</m:t>
        </m:r>
        <m:d>
          <m:dPr>
            <m:begChr m:val="("/>
            <m:endChr m:val=")"/>
            <m:grow/>
          </m:dPr>
          <m:e>
            <m:f>
              <m:fPr>
                <m:type m:val="noBar"/>
              </m:fPr>
              <m:num>
                <m:r>
                  <m:t>n</m:t>
                </m:r>
              </m:num>
              <m:den>
                <m:r>
                  <m:t>k</m:t>
                </m:r>
              </m:den>
            </m:f>
          </m:e>
        </m:d>
        <m:sSup>
          <m:e>
            <m:r>
              <m:t>p</m:t>
            </m:r>
          </m:e>
          <m:sup>
            <m:r>
              <m:t>k</m:t>
            </m:r>
          </m:sup>
        </m:sSup>
        <m:r>
          <m:t>(</m:t>
        </m:r>
        <m:r>
          <m:t>1</m:t>
        </m:r>
        <m:r>
          <m:t>−</m:t>
        </m:r>
        <m:r>
          <m:t>p</m:t>
        </m:r>
        <m:sSup>
          <m:e>
            <m:r>
              <m:t>)</m:t>
            </m:r>
          </m:e>
          <m:sup>
            <m:r>
              <m:t>n</m:t>
            </m:r>
            <m:r>
              <m:t>−</m:t>
            </m:r>
            <m:r>
              <m:t>k</m:t>
            </m:r>
          </m:sup>
        </m:sSup>
      </m:oMath>
      <w:r>
        <w:t xml:space="preserve">. Hence the expected value is</w:t>
      </w:r>
      <w:r>
        <w:t xml:space="preserve"> </w:t>
      </w:r>
      <m:oMath>
        <m:r>
          <m:t>E</m:t>
        </m:r>
        <m:r>
          <m:t>(</m:t>
        </m:r>
        <m:r>
          <m:t>X</m:t>
        </m:r>
        <m:r>
          <m:t>)</m:t>
        </m:r>
        <m:r>
          <m:t>=</m:t>
        </m:r>
        <m:nary>
          <m:naryPr>
            <m:chr m:val="∑"/>
            <m:limLoc m:val="undOvr"/>
            <m:subHide m:val="0"/>
            <m:supHide m:val="0"/>
          </m:naryPr>
          <m:sub>
            <m:r>
              <m:t>k</m:t>
            </m:r>
            <m:r>
              <m:t>=</m:t>
            </m:r>
            <m:r>
              <m:t>0</m:t>
            </m:r>
          </m:sub>
          <m:sup>
            <m:r>
              <m:t>10</m:t>
            </m:r>
          </m:sup>
          <m:e>
            <m:r>
              <m:t>k</m:t>
            </m:r>
          </m:e>
        </m:nary>
        <m:d>
          <m:dPr>
            <m:begChr m:val="("/>
            <m:endChr m:val=")"/>
            <m:grow/>
          </m:dPr>
          <m:e>
            <m:f>
              <m:fPr>
                <m:type m:val="noBar"/>
              </m:fPr>
              <m:num>
                <m:r>
                  <m:t>10</m:t>
                </m:r>
              </m:num>
              <m:den>
                <m:r>
                  <m:t>k</m:t>
                </m:r>
              </m:den>
            </m:f>
          </m:e>
        </m:d>
        <m:sSup>
          <m:e>
            <m:r>
              <m:t>0.2</m:t>
            </m:r>
          </m:e>
          <m:sup>
            <m:r>
              <m:t>k</m:t>
            </m:r>
          </m:sup>
        </m:sSup>
        <m:r>
          <m:t>(</m:t>
        </m:r>
        <m:r>
          <m:t>0.8</m:t>
        </m:r>
        <m:sSup>
          <m:e>
            <m:r>
              <m:t>)</m:t>
            </m:r>
          </m:e>
          <m:sup>
            <m:r>
              <m:t>10</m:t>
            </m:r>
            <m:r>
              <m:t>−</m:t>
            </m:r>
            <m:r>
              <m:t>k</m:t>
            </m:r>
          </m:sup>
        </m:sSup>
      </m:oMath>
      <w:r>
        <w:t xml:space="preserve">. Let’s make a handy dandy table for this:</w:t>
      </w:r>
    </w:p>
    <w:tbl>
      <w:tblPr>
        <w:tblStyle w:val="Table"/>
        <w:tblW w:type="pct" w:w="0.0"/>
        <w:tblLook w:firstRow="1"/>
      </w:tblPr>
      <w:tblGrid/>
      <w:tr>
        <w:trPr>
          <w:cnfStyle w:firstRow="1"/>
        </w:trPr>
        <w:tc>
          <w:tcPr>
            <w:tcBorders>
              <w:bottom w:val="single"/>
            </w:tcBorders>
            <w:vAlign w:val="bottom"/>
          </w:tcPr>
          <w:p>
            <w:pPr>
              <w:pStyle w:val="Compact"/>
              <w:jc w:val="left"/>
            </w:pPr>
            <m:oMath>
              <m:r>
                <m:t>k</m:t>
              </m:r>
            </m:oMath>
          </w:p>
        </w:tc>
        <w:tc>
          <w:tcPr>
            <w:tcBorders>
              <w:bottom w:val="single"/>
            </w:tcBorders>
            <w:vAlign w:val="bottom"/>
          </w:tcPr>
          <w:p>
            <w:pPr>
              <w:pStyle w:val="Compact"/>
              <w:jc w:val="left"/>
            </w:pPr>
            <m:oMath>
              <m:r>
                <m:t>p</m:t>
              </m:r>
              <m:r>
                <m:t>(</m:t>
              </m:r>
              <m:r>
                <m:t>k</m:t>
              </m:r>
              <m:r>
                <m:t>)</m:t>
              </m:r>
            </m:oMath>
          </w:p>
        </w:tc>
        <w:tc>
          <w:tcPr>
            <w:tcBorders>
              <w:bottom w:val="single"/>
            </w:tcBorders>
            <w:vAlign w:val="bottom"/>
          </w:tcPr>
          <w:p>
            <w:pPr>
              <w:pStyle w:val="Compact"/>
              <w:jc w:val="left"/>
            </w:pPr>
            <m:oMath>
              <m:r>
                <m:t>k</m:t>
              </m:r>
              <m:r>
                <m:t>⋅</m:t>
              </m:r>
              <m:r>
                <m:t>p</m:t>
              </m:r>
              <m:r>
                <m:t>(</m:t>
              </m:r>
              <m:r>
                <m:t>k</m:t>
              </m:r>
              <m:r>
                <m:t>)</m:t>
              </m:r>
            </m:oMath>
          </w:p>
        </w:tc>
      </w:tr>
      <w:tr>
        <w:tc>
          <w:p>
            <w:pPr>
              <w:pStyle w:val="Compact"/>
              <w:jc w:val="left"/>
            </w:pPr>
            <w:r>
              <w:t xml:space="preserve">0</w:t>
            </w:r>
          </w:p>
        </w:tc>
        <w:tc>
          <w:p>
            <w:pPr>
              <w:pStyle w:val="Compact"/>
              <w:jc w:val="left"/>
            </w:pPr>
            <w:r>
              <w:t xml:space="preserve">0.107</w:t>
            </w:r>
          </w:p>
        </w:tc>
        <w:tc>
          <w:p>
            <w:pPr>
              <w:pStyle w:val="Compact"/>
              <w:jc w:val="left"/>
            </w:pPr>
            <w:r>
              <w:t xml:space="preserve">0.000</w:t>
            </w:r>
          </w:p>
        </w:tc>
      </w:tr>
      <w:tr>
        <w:tc>
          <w:p>
            <w:pPr>
              <w:pStyle w:val="Compact"/>
              <w:jc w:val="left"/>
            </w:pPr>
            <w:r>
              <w:t xml:space="preserve">1</w:t>
            </w:r>
          </w:p>
        </w:tc>
        <w:tc>
          <w:p>
            <w:pPr>
              <w:pStyle w:val="Compact"/>
              <w:jc w:val="left"/>
            </w:pPr>
            <w:r>
              <w:t xml:space="preserve">0.268</w:t>
            </w:r>
          </w:p>
        </w:tc>
        <w:tc>
          <w:p>
            <w:pPr>
              <w:pStyle w:val="Compact"/>
              <w:jc w:val="left"/>
            </w:pPr>
            <w:r>
              <w:t xml:space="preserve">0.268</w:t>
            </w:r>
          </w:p>
        </w:tc>
      </w:tr>
      <w:tr>
        <w:tc>
          <w:p>
            <w:pPr>
              <w:pStyle w:val="Compact"/>
              <w:jc w:val="left"/>
            </w:pPr>
            <w:r>
              <w:t xml:space="preserve">2</w:t>
            </w:r>
          </w:p>
        </w:tc>
        <w:tc>
          <w:p>
            <w:pPr>
              <w:pStyle w:val="Compact"/>
              <w:jc w:val="left"/>
            </w:pPr>
            <w:r>
              <w:t xml:space="preserve">0.302</w:t>
            </w:r>
          </w:p>
        </w:tc>
        <w:tc>
          <w:p>
            <w:pPr>
              <w:pStyle w:val="Compact"/>
              <w:jc w:val="left"/>
            </w:pPr>
            <w:r>
              <w:t xml:space="preserve">0.604</w:t>
            </w:r>
          </w:p>
        </w:tc>
      </w:tr>
      <w:tr>
        <w:tc>
          <w:p>
            <w:pPr>
              <w:pStyle w:val="Compact"/>
              <w:jc w:val="left"/>
            </w:pPr>
            <w:r>
              <w:t xml:space="preserve">3</w:t>
            </w:r>
          </w:p>
        </w:tc>
        <w:tc>
          <w:p>
            <w:pPr>
              <w:pStyle w:val="Compact"/>
              <w:jc w:val="left"/>
            </w:pPr>
            <w:r>
              <w:t xml:space="preserve">0.201</w:t>
            </w:r>
          </w:p>
        </w:tc>
        <w:tc>
          <w:p>
            <w:pPr>
              <w:pStyle w:val="Compact"/>
              <w:jc w:val="left"/>
            </w:pPr>
            <w:r>
              <w:t xml:space="preserve">0.604</w:t>
            </w:r>
          </w:p>
        </w:tc>
      </w:tr>
      <w:tr>
        <w:tc>
          <w:p>
            <w:pPr>
              <w:pStyle w:val="Compact"/>
              <w:jc w:val="left"/>
            </w:pPr>
            <w:r>
              <w:t xml:space="preserve">4</w:t>
            </w:r>
          </w:p>
        </w:tc>
        <w:tc>
          <w:p>
            <w:pPr>
              <w:pStyle w:val="Compact"/>
              <w:jc w:val="left"/>
            </w:pPr>
            <w:r>
              <w:t xml:space="preserve">0.088</w:t>
            </w:r>
          </w:p>
        </w:tc>
        <w:tc>
          <w:p>
            <w:pPr>
              <w:pStyle w:val="Compact"/>
              <w:jc w:val="left"/>
            </w:pPr>
            <w:r>
              <w:t xml:space="preserve">0.352</w:t>
            </w:r>
          </w:p>
        </w:tc>
      </w:tr>
      <w:tr>
        <w:tc>
          <w:p>
            <w:pPr>
              <w:pStyle w:val="Compact"/>
              <w:jc w:val="left"/>
            </w:pPr>
            <w:r>
              <w:t xml:space="preserve">5</w:t>
            </w:r>
          </w:p>
        </w:tc>
        <w:tc>
          <w:p>
            <w:pPr>
              <w:pStyle w:val="Compact"/>
              <w:jc w:val="left"/>
            </w:pPr>
            <w:r>
              <w:t xml:space="preserve">0.026</w:t>
            </w:r>
          </w:p>
        </w:tc>
        <w:tc>
          <w:p>
            <w:pPr>
              <w:pStyle w:val="Compact"/>
              <w:jc w:val="left"/>
            </w:pPr>
            <w:r>
              <w:t xml:space="preserve">0.132</w:t>
            </w:r>
          </w:p>
        </w:tc>
      </w:tr>
      <w:tr>
        <w:tc>
          <w:p>
            <w:pPr>
              <w:pStyle w:val="Compact"/>
              <w:jc w:val="left"/>
            </w:pPr>
            <w:r>
              <w:t xml:space="preserve">6</w:t>
            </w:r>
          </w:p>
        </w:tc>
        <w:tc>
          <w:p>
            <w:pPr>
              <w:pStyle w:val="Compact"/>
              <w:jc w:val="left"/>
            </w:pPr>
            <w:r>
              <w:t xml:space="preserve">0.006</w:t>
            </w:r>
          </w:p>
        </w:tc>
        <w:tc>
          <w:p>
            <w:pPr>
              <w:pStyle w:val="Compact"/>
              <w:jc w:val="left"/>
            </w:pPr>
            <w:r>
              <w:t xml:space="preserve">0.033</w:t>
            </w:r>
          </w:p>
        </w:tc>
      </w:tr>
      <w:tr>
        <w:tc>
          <w:p>
            <w:pPr>
              <w:pStyle w:val="Compact"/>
              <w:jc w:val="left"/>
            </w:pPr>
            <w:r>
              <w:t xml:space="preserve">7</w:t>
            </w:r>
          </w:p>
        </w:tc>
        <w:tc>
          <w:p>
            <w:pPr>
              <w:pStyle w:val="Compact"/>
              <w:jc w:val="left"/>
            </w:pPr>
            <w:r>
              <w:t xml:space="preserve">0.001</w:t>
            </w:r>
          </w:p>
        </w:tc>
        <w:tc>
          <w:p>
            <w:pPr>
              <w:pStyle w:val="Compact"/>
              <w:jc w:val="left"/>
            </w:pPr>
            <w:r>
              <w:t xml:space="preserve">0.006</w:t>
            </w:r>
          </w:p>
        </w:tc>
      </w:tr>
      <w:tr>
        <w:tc>
          <w:p>
            <w:pPr>
              <w:pStyle w:val="Compact"/>
              <w:jc w:val="left"/>
            </w:pPr>
            <w:r>
              <w:t xml:space="preserve">8</w:t>
            </w:r>
          </w:p>
        </w:tc>
        <w:tc>
          <w:p>
            <w:pPr>
              <w:pStyle w:val="Compact"/>
              <w:jc w:val="left"/>
            </w:pPr>
            <w:r>
              <w:t xml:space="preserve">0.000</w:t>
            </w:r>
          </w:p>
        </w:tc>
        <w:tc>
          <w:p>
            <w:pPr>
              <w:pStyle w:val="Compact"/>
              <w:jc w:val="left"/>
            </w:pPr>
            <w:r>
              <w:t xml:space="preserve">0.001</w:t>
            </w:r>
          </w:p>
        </w:tc>
      </w:tr>
      <w:tr>
        <w:tc>
          <w:p>
            <w:pPr>
              <w:pStyle w:val="Compact"/>
              <w:jc w:val="left"/>
            </w:pPr>
            <w:r>
              <w:t xml:space="preserve">9</w:t>
            </w:r>
          </w:p>
        </w:tc>
        <w:tc>
          <w:p>
            <w:pPr>
              <w:pStyle w:val="Compact"/>
              <w:jc w:val="left"/>
            </w:pPr>
            <w:r>
              <w:t xml:space="preserve">0.000</w:t>
            </w:r>
          </w:p>
        </w:tc>
        <w:tc>
          <w:p>
            <w:pPr>
              <w:pStyle w:val="Compact"/>
              <w:jc w:val="left"/>
            </w:pPr>
            <w:r>
              <w:t xml:space="preserve">0.000</w:t>
            </w:r>
          </w:p>
        </w:tc>
      </w:tr>
      <w:tr>
        <w:tc>
          <w:p>
            <w:pPr>
              <w:pStyle w:val="Compact"/>
              <w:jc w:val="left"/>
            </w:pPr>
            <w:r>
              <w:t xml:space="preserve">10</w:t>
            </w:r>
          </w:p>
        </w:tc>
        <w:tc>
          <w:p>
            <w:pPr>
              <w:pStyle w:val="Compact"/>
              <w:jc w:val="left"/>
            </w:pPr>
            <w:r>
              <w:t xml:space="preserve">0.000</w:t>
            </w:r>
          </w:p>
        </w:tc>
        <w:tc>
          <w:p>
            <w:pPr>
              <w:pStyle w:val="Compact"/>
              <w:jc w:val="left"/>
            </w:pPr>
            <w:r>
              <w:t xml:space="preserve">0.000</w:t>
            </w:r>
          </w:p>
        </w:tc>
      </w:tr>
      <w:tr>
        <w:tc>
          <w:p/>
        </w:tc>
        <w:tc>
          <w:p>
            <w:pPr>
              <w:pStyle w:val="Compact"/>
              <w:jc w:val="left"/>
            </w:pPr>
            <w:r>
              <w:rPr>
                <w:b/>
              </w:rPr>
              <w:t xml:space="preserve">sum</w:t>
            </w:r>
          </w:p>
        </w:tc>
        <w:tc>
          <w:p>
            <w:pPr>
              <w:pStyle w:val="Compact"/>
              <w:jc w:val="left"/>
            </w:pPr>
            <w:r>
              <w:rPr>
                <w:b/>
              </w:rPr>
              <w:t xml:space="preserve">2</w:t>
            </w:r>
          </w:p>
        </w:tc>
      </w:tr>
    </w:tbl>
    <w:p>
      <w:pPr>
        <w:pStyle w:val="BodyText"/>
      </w:pPr>
      <w:r>
        <w:t xml:space="preserve">Adding up the sum, it appears the expected value of the</w:t>
      </w:r>
      <w:r>
        <w:t xml:space="preserve"> </w:t>
      </w:r>
      <w:r>
        <w:t xml:space="preserve">distribution is 2. Which, in this case, makes perfect sense. If you</w:t>
      </w:r>
      <w:r>
        <w:t xml:space="preserve"> </w:t>
      </w:r>
      <w:r>
        <w:t xml:space="preserve">“</w:t>
      </w:r>
      <w:r>
        <w:t xml:space="preserve">expect</w:t>
      </w:r>
      <w:r>
        <w:t xml:space="preserve">”</w:t>
      </w:r>
      <w:r>
        <w:t xml:space="preserve"> </w:t>
      </w:r>
      <w:r>
        <w:t xml:space="preserve">20% of the experiments to succeed, and you perform 10 of them, then you</w:t>
      </w:r>
      <w:r>
        <w:t xml:space="preserve"> </w:t>
      </w:r>
      <w:r>
        <w:t xml:space="preserve">“</w:t>
      </w:r>
      <w:r>
        <w:t xml:space="preserve">expect</w:t>
      </w:r>
      <w:r>
        <w:t xml:space="preserve">”</w:t>
      </w:r>
      <w:r>
        <w:t xml:space="preserve"> </w:t>
      </w:r>
      <w:r>
        <w:t xml:space="preserve">2 to succeed. This is an example where</w:t>
      </w:r>
      <w:r>
        <w:t xml:space="preserve"> </w:t>
      </w:r>
      <w:r>
        <w:t xml:space="preserve">“</w:t>
      </w:r>
      <w:r>
        <w:t xml:space="preserve">expected</w:t>
      </w:r>
      <w:r>
        <w:t xml:space="preserve">”</w:t>
      </w:r>
      <w:r>
        <w:t xml:space="preserve"> </w:t>
      </w:r>
      <w:r>
        <w:t xml:space="preserve">kind of means what you, um, expect it to mean. Furthermore, if we consult a graph of this distribution we see that</w:t>
      </w:r>
      <w:r>
        <w:t xml:space="preserve"> </w:t>
      </w:r>
      <w:r>
        <w:t xml:space="preserve">“</w:t>
      </w:r>
      <w:r>
        <w:t xml:space="preserve">2</w:t>
      </w:r>
      <w:r>
        <w:t xml:space="preserve">”</w:t>
      </w:r>
      <w:r>
        <w:t xml:space="preserve"> </w:t>
      </w:r>
      <w:r>
        <w:t xml:space="preserve">is a good measure of the center of the distribution.</w:t>
      </w:r>
    </w:p>
    <w:p>
      <w:pPr>
        <w:pStyle w:val="BodyText"/>
      </w:pPr>
      <w:r>
        <w:drawing>
          <wp:inline>
            <wp:extent cx="5334000" cy="3414389"/>
            <wp:effectExtent b="0" l="0" r="0" t="0"/>
            <wp:docPr descr="" title="" id="1" name="Picture"/>
            <a:graphic>
              <a:graphicData uri="http://schemas.openxmlformats.org/drawingml/2006/picture">
                <pic:pic>
                  <pic:nvPicPr>
                    <pic:cNvPr descr="binom3.png" id="0" name="Picture"/>
                    <pic:cNvPicPr>
                      <a:picLocks noChangeArrowheads="1" noChangeAspect="1"/>
                    </pic:cNvPicPr>
                  </pic:nvPicPr>
                  <pic:blipFill>
                    <a:blip r:embed="rId23"/>
                    <a:stretch>
                      <a:fillRect/>
                    </a:stretch>
                  </pic:blipFill>
                  <pic:spPr bwMode="auto">
                    <a:xfrm>
                      <a:off x="0" y="0"/>
                      <a:ext cx="5334000" cy="3414389"/>
                    </a:xfrm>
                    <a:prstGeom prst="rect">
                      <a:avLst/>
                    </a:prstGeom>
                    <a:noFill/>
                    <a:ln w="9525">
                      <a:noFill/>
                      <a:headEnd/>
                      <a:tailEnd/>
                    </a:ln>
                  </pic:spPr>
                </pic:pic>
              </a:graphicData>
            </a:graphic>
          </wp:inline>
        </w:drawing>
      </w:r>
    </w:p>
    <w:p>
      <w:pPr>
        <w:pStyle w:val="BodyText"/>
      </w:pPr>
      <w:r>
        <w:rPr>
          <w:b/>
        </w:rPr>
        <w:t xml:space="preserve">Theorem</w:t>
      </w:r>
      <w:r>
        <w:t xml:space="preserve"> </w:t>
      </w:r>
      <w:r>
        <w:t xml:space="preserve">The mean of a Binomial distribution with parameters</w:t>
      </w:r>
      <w:r>
        <w:t xml:space="preserve"> </w:t>
      </w:r>
      <m:oMath>
        <m:r>
          <m:t>n</m:t>
        </m:r>
      </m:oMath>
      <w:r>
        <w:t xml:space="preserve"> </w:t>
      </w:r>
      <w:r>
        <w:t xml:space="preserve">and</w:t>
      </w:r>
      <w:r>
        <w:t xml:space="preserve"> </w:t>
      </w:r>
      <m:oMath>
        <m:r>
          <m:t>p</m:t>
        </m:r>
      </m:oMath>
      <w:r>
        <w:t xml:space="preserve"> </w:t>
      </w:r>
      <w:r>
        <w:t xml:space="preserve">is</w:t>
      </w:r>
      <w:r>
        <w:t xml:space="preserve"> </w:t>
      </w:r>
      <m:oMath>
        <m:r>
          <m:t>μ</m:t>
        </m:r>
        <m:r>
          <m:t>=</m:t>
        </m:r>
        <m:r>
          <m:t>n</m:t>
        </m:r>
        <m:r>
          <m:t>p</m:t>
        </m:r>
      </m:oMath>
      <w:r>
        <w:t xml:space="preserve">.</w:t>
      </w:r>
    </w:p>
    <w:p>
      <w:pPr>
        <w:pStyle w:val="Heading2"/>
      </w:pPr>
      <w:bookmarkStart w:id="24" w:name="variance-of-the-uniform-distribution"/>
      <w:r>
        <w:t xml:space="preserve">Variance of the Uniform Distribution</w:t>
      </w:r>
      <w:bookmarkEnd w:id="24"/>
    </w:p>
    <w:p>
      <w:pPr>
        <w:pStyle w:val="FirstParagraph"/>
      </w:pPr>
      <w:r>
        <w:t xml:space="preserve">The expected value (we’ll usually say</w:t>
      </w:r>
      <w:r>
        <w:t xml:space="preserve"> </w:t>
      </w:r>
      <w:r>
        <w:t xml:space="preserve">“</w:t>
      </w:r>
      <w:r>
        <w:t xml:space="preserve">mean</w:t>
      </w:r>
      <w:r>
        <w:t xml:space="preserve">”</w:t>
      </w:r>
      <w:r>
        <w:t xml:space="preserve"> </w:t>
      </w:r>
      <w:r>
        <w:t xml:space="preserve">from now on) of a</w:t>
      </w:r>
      <w:r>
        <w:t xml:space="preserve"> </w:t>
      </w:r>
      <w:r>
        <w:t xml:space="preserve">distribution is a measure of center. The</w:t>
      </w:r>
      <w:r>
        <w:t xml:space="preserve"> </w:t>
      </w:r>
      <w:r>
        <w:rPr>
          <w:b/>
        </w:rPr>
        <w:t xml:space="preserve">variance</w:t>
      </w:r>
      <w:r>
        <w:t xml:space="preserve">, which we look at now, is a</w:t>
      </w:r>
      <w:r>
        <w:t xml:space="preserve"> </w:t>
      </w:r>
      <w:r>
        <w:rPr>
          <w:i/>
        </w:rPr>
        <w:t xml:space="preserve">measure of dispersion</w:t>
      </w:r>
      <w:r>
        <w:t xml:space="preserve">. It tries to quantify, in one number, how spread out the distribution is – how far values tend to be away from the mean.</w:t>
      </w:r>
    </w:p>
    <w:p>
      <w:pPr>
        <w:pStyle w:val="BodyText"/>
      </w:pPr>
      <w:r>
        <w:t xml:space="preserve">The formula for variance of a distribution is</w:t>
      </w:r>
    </w:p>
    <w:p>
      <w:pPr>
        <w:pStyle w:val="BodyText"/>
      </w:pPr>
      <m:oMath>
        <m:r>
          <m:t>V</m:t>
        </m:r>
        <m:r>
          <m:t>a</m:t>
        </m:r>
        <m:r>
          <m:t>r</m:t>
        </m:r>
        <m:r>
          <m:t>(</m:t>
        </m:r>
        <m:r>
          <m:t>X</m:t>
        </m:r>
        <m:r>
          <m:t>)</m:t>
        </m:r>
        <m:r>
          <m:t>=</m:t>
        </m:r>
        <m:nary>
          <m:naryPr>
            <m:chr m:val="∑"/>
            <m:limLoc m:val="undOvr"/>
            <m:subHide m:val="0"/>
            <m:supHide m:val="1"/>
          </m:naryPr>
          <m:sub>
            <m:r>
              <m:t>x</m:t>
            </m:r>
          </m:sub>
          <m:sup>
            <m:r>
              <m:t>​</m:t>
            </m:r>
          </m:sup>
          <m:e>
            <m:r>
              <m:t>(</m:t>
            </m:r>
          </m:e>
        </m:nary>
        <m:r>
          <m:t>x</m:t>
        </m:r>
        <m:r>
          <m:t>−</m:t>
        </m:r>
        <m:r>
          <m:t>μ</m:t>
        </m:r>
        <m:sSup>
          <m:e>
            <m:r>
              <m:t>)</m:t>
            </m:r>
          </m:e>
          <m:sup>
            <m:r>
              <m:t>2</m:t>
            </m:r>
          </m:sup>
        </m:sSup>
        <m:r>
          <m:t>p</m:t>
        </m:r>
        <m:r>
          <m:t>(</m:t>
        </m:r>
        <m:r>
          <m:t>x</m:t>
        </m:r>
        <m:r>
          <m:t>)</m:t>
        </m:r>
      </m:oMath>
    </w:p>
    <w:p>
      <w:pPr>
        <w:pStyle w:val="BodyText"/>
      </w:pPr>
      <w:r>
        <w:t xml:space="preserve">Using our previous example with the sample space</w:t>
      </w:r>
      <w:r>
        <w:t xml:space="preserve"> </w:t>
      </w:r>
      <m:oMath>
        <m:r>
          <m:t>{</m:t>
        </m:r>
        <m:r>
          <m:t>1</m:t>
        </m:r>
        <m:r>
          <m:t>,</m:t>
        </m:r>
        <m:r>
          <m:t>2</m:t>
        </m:r>
        <m:r>
          <m:t>,</m:t>
        </m:r>
        <m:r>
          <m:t>3</m:t>
        </m:r>
        <m:r>
          <m:t>,</m:t>
        </m:r>
        <m:r>
          <m:t>4</m:t>
        </m:r>
        <m:r>
          <m:t>}</m:t>
        </m:r>
      </m:oMath>
      <w:r>
        <w:t xml:space="preserve"> </w:t>
      </w:r>
      <w:r>
        <w:t xml:space="preserve">we caculate the variance to be</w:t>
      </w:r>
    </w:p>
    <w:p>
      <w:pPr>
        <w:pStyle w:val="BodyText"/>
      </w:pPr>
      <m:oMath>
        <m:r>
          <m:t>V</m:t>
        </m:r>
        <m:r>
          <m:t>a</m:t>
        </m:r>
        <m:r>
          <m:t>r</m:t>
        </m:r>
        <m:r>
          <m:t>(</m:t>
        </m:r>
        <m:r>
          <m:t>X</m:t>
        </m:r>
        <m:r>
          <m:t>)</m:t>
        </m:r>
        <m:r>
          <m:t>=</m:t>
        </m:r>
        <m:nary>
          <m:naryPr>
            <m:chr m:val="∑"/>
            <m:limLoc m:val="undOvr"/>
            <m:subHide m:val="0"/>
            <m:supHide m:val="0"/>
          </m:naryPr>
          <m:sub>
            <m:r>
              <m:t>x</m:t>
            </m:r>
            <m:r>
              <m:t>=</m:t>
            </m:r>
            <m:r>
              <m:t>1</m:t>
            </m:r>
          </m:sub>
          <m:sup>
            <m:r>
              <m:t>4</m:t>
            </m:r>
          </m:sup>
          <m:e>
            <m:r>
              <m:t>(</m:t>
            </m:r>
          </m:e>
        </m:nary>
        <m:r>
          <m:t>x</m:t>
        </m:r>
        <m:r>
          <m:t>−</m:t>
        </m:r>
        <m:r>
          <m:t>2.5</m:t>
        </m:r>
        <m:sSup>
          <m:e>
            <m:r>
              <m:t>)</m:t>
            </m:r>
          </m:e>
          <m:sup>
            <m:r>
              <m:t>2</m:t>
            </m:r>
          </m:sup>
        </m:sSup>
        <m:d>
          <m:dPr>
            <m:begChr m:val="("/>
            <m:endChr m:val=")"/>
            <m:grow/>
          </m:dPr>
          <m:e>
            <m:f>
              <m:fPr>
                <m:type m:val="bar"/>
              </m:fPr>
              <m:num>
                <m:r>
                  <m:t>1</m:t>
                </m:r>
              </m:num>
              <m:den>
                <m:r>
                  <m:t>4</m:t>
                </m:r>
              </m:den>
            </m:f>
          </m:e>
        </m:d>
      </m:oMath>
    </w:p>
    <w:p>
      <w:pPr>
        <w:pStyle w:val="BodyText"/>
      </w:pPr>
      <w:r>
        <w:t xml:space="preserve">This is</w:t>
      </w:r>
      <w:r>
        <w:t xml:space="preserve"> </w:t>
      </w:r>
      <m:oMath>
        <m:r>
          <m:t>V</m:t>
        </m:r>
        <m:r>
          <m:t>a</m:t>
        </m:r>
        <m:r>
          <m:t>r</m:t>
        </m:r>
        <m:r>
          <m:t>(</m:t>
        </m:r>
        <m:r>
          <m:t>X</m:t>
        </m:r>
        <m:r>
          <m:t>)</m:t>
        </m:r>
        <m:r>
          <m:t>=</m:t>
        </m:r>
        <m:f>
          <m:fPr>
            <m:type m:val="bar"/>
          </m:fPr>
          <m:num>
            <m:r>
              <m:t>(</m:t>
            </m:r>
            <m:r>
              <m:t>1</m:t>
            </m:r>
            <m:r>
              <m:t>−</m:t>
            </m:r>
            <m:r>
              <m:t>2.5</m:t>
            </m:r>
            <m:sSup>
              <m:e>
                <m:r>
                  <m:t>)</m:t>
                </m:r>
              </m:e>
              <m:sup>
                <m:r>
                  <m:t>2</m:t>
                </m:r>
              </m:sup>
            </m:sSup>
            <m:r>
              <m:t>+</m:t>
            </m:r>
            <m:r>
              <m:t>(</m:t>
            </m:r>
            <m:r>
              <m:t>2</m:t>
            </m:r>
            <m:r>
              <m:t>−</m:t>
            </m:r>
            <m:r>
              <m:t>2.5</m:t>
            </m:r>
            <m:sSup>
              <m:e>
                <m:r>
                  <m:t>)</m:t>
                </m:r>
              </m:e>
              <m:sup>
                <m:r>
                  <m:t>2</m:t>
                </m:r>
              </m:sup>
            </m:sSup>
            <m:r>
              <m:t>+</m:t>
            </m:r>
            <m:r>
              <m:t>(</m:t>
            </m:r>
            <m:r>
              <m:t>3</m:t>
            </m:r>
            <m:r>
              <m:t>−</m:t>
            </m:r>
            <m:r>
              <m:t>2.5</m:t>
            </m:r>
            <m:sSup>
              <m:e>
                <m:r>
                  <m:t>)</m:t>
                </m:r>
              </m:e>
              <m:sup>
                <m:r>
                  <m:t>2</m:t>
                </m:r>
              </m:sup>
            </m:sSup>
            <m:r>
              <m:t>+</m:t>
            </m:r>
            <m:r>
              <m:t>(</m:t>
            </m:r>
            <m:r>
              <m:t>4</m:t>
            </m:r>
            <m:r>
              <m:t>−</m:t>
            </m:r>
            <m:r>
              <m:t>2.5</m:t>
            </m:r>
            <m:sSup>
              <m:e>
                <m:r>
                  <m:t>)</m:t>
                </m:r>
              </m:e>
              <m:sup>
                <m:r>
                  <m:t>2</m:t>
                </m:r>
              </m:sup>
            </m:sSup>
          </m:num>
          <m:den>
            <m:r>
              <m:t>4</m:t>
            </m:r>
          </m:den>
        </m:f>
        <m:r>
          <m:t>=</m:t>
        </m:r>
        <m:r>
          <m:t>1.25</m:t>
        </m:r>
      </m:oMath>
    </w:p>
    <w:p>
      <w:pPr>
        <w:pStyle w:val="Heading2"/>
      </w:pPr>
      <w:bookmarkStart w:id="25" w:name="variation-of-the-binomial-distribution"/>
      <w:r>
        <w:t xml:space="preserve">Variation of the Binomial distribution</w:t>
      </w:r>
      <w:bookmarkEnd w:id="25"/>
    </w:p>
    <w:p>
      <w:pPr>
        <w:pStyle w:val="FirstParagraph"/>
      </w:pPr>
      <w:r>
        <w:t xml:space="preserve">From the variance formula and the above example</w:t>
      </w:r>
    </w:p>
    <w:p>
      <w:pPr>
        <w:pStyle w:val="BodyText"/>
      </w:pPr>
      <m:oMath>
        <m:r>
          <m:t>V</m:t>
        </m:r>
        <m:r>
          <m:t>a</m:t>
        </m:r>
        <m:r>
          <m:t>r</m:t>
        </m:r>
        <m:r>
          <m:t>(</m:t>
        </m:r>
        <m:r>
          <m:t>X</m:t>
        </m:r>
        <m:r>
          <m:t>)</m:t>
        </m:r>
        <m:r>
          <m:t>=</m:t>
        </m:r>
        <m:nary>
          <m:naryPr>
            <m:chr m:val="∑"/>
            <m:limLoc m:val="undOvr"/>
            <m:subHide m:val="0"/>
            <m:supHide m:val="0"/>
          </m:naryPr>
          <m:sub>
            <m:r>
              <m:t>k</m:t>
            </m:r>
            <m:r>
              <m:t>=</m:t>
            </m:r>
            <m:r>
              <m:t>0</m:t>
            </m:r>
          </m:sub>
          <m:sup>
            <m:r>
              <m:t>10</m:t>
            </m:r>
          </m:sup>
          <m:e>
            <m:r>
              <m:t>(</m:t>
            </m:r>
          </m:e>
        </m:nary>
        <m:r>
          <m:t>k</m:t>
        </m:r>
        <m:r>
          <m:t>−</m:t>
        </m:r>
        <m:r>
          <m:t>2</m:t>
        </m:r>
        <m:sSup>
          <m:e>
            <m:r>
              <m:t>)</m:t>
            </m:r>
          </m:e>
          <m:sup>
            <m:r>
              <m:t>2</m:t>
            </m:r>
          </m:sup>
        </m:sSup>
        <m:d>
          <m:dPr>
            <m:begChr m:val="("/>
            <m:endChr m:val=")"/>
            <m:grow/>
          </m:dPr>
          <m:e>
            <m:f>
              <m:fPr>
                <m:type m:val="noBar"/>
              </m:fPr>
              <m:num>
                <m:r>
                  <m:t>10</m:t>
                </m:r>
              </m:num>
              <m:den>
                <m:r>
                  <m:t>k</m:t>
                </m:r>
              </m:den>
            </m:f>
          </m:e>
        </m:d>
        <m:sSup>
          <m:e>
            <m:r>
              <m:t>0.2</m:t>
            </m:r>
          </m:e>
          <m:sup>
            <m:r>
              <m:t>k</m:t>
            </m:r>
          </m:sup>
        </m:sSup>
        <m:r>
          <m:t>(</m:t>
        </m:r>
        <m:r>
          <m:t>0.8</m:t>
        </m:r>
        <m:sSup>
          <m:e>
            <m:r>
              <m:t>)</m:t>
            </m:r>
          </m:e>
          <m:sup>
            <m:r>
              <m:t>10</m:t>
            </m:r>
            <m:r>
              <m:t>−</m:t>
            </m:r>
            <m:r>
              <m:t>k</m:t>
            </m:r>
          </m:sup>
        </m:sSup>
      </m:oMath>
    </w:p>
    <w:p>
      <w:pPr>
        <w:pStyle w:val="BodyText"/>
      </w:pPr>
      <w:r>
        <w:t xml:space="preserve">and using our handy dandy table again</w:t>
      </w:r>
    </w:p>
    <w:tbl>
      <w:tblPr>
        <w:tblStyle w:val="Table"/>
        <w:tblW w:type="pct" w:w="0.0"/>
        <w:tblLook w:firstRow="1"/>
      </w:tblPr>
      <w:tblGrid/>
      <w:tr>
        <w:trPr>
          <w:cnfStyle w:firstRow="1"/>
        </w:trPr>
        <w:tc>
          <w:tcPr>
            <w:tcBorders>
              <w:bottom w:val="single"/>
            </w:tcBorders>
            <w:vAlign w:val="bottom"/>
          </w:tcPr>
          <w:p>
            <w:pPr>
              <w:pStyle w:val="Compact"/>
              <w:jc w:val="left"/>
            </w:pPr>
            <m:oMath>
              <m:r>
                <m:t>k</m:t>
              </m:r>
            </m:oMath>
          </w:p>
        </w:tc>
        <w:tc>
          <w:tcPr>
            <w:tcBorders>
              <w:bottom w:val="single"/>
            </w:tcBorders>
            <w:vAlign w:val="bottom"/>
          </w:tcPr>
          <w:p>
            <w:pPr>
              <w:pStyle w:val="Compact"/>
              <w:jc w:val="left"/>
            </w:pPr>
            <m:oMath>
              <m:r>
                <m:t>p</m:t>
              </m:r>
              <m:r>
                <m:t>(</m:t>
              </m:r>
              <m:r>
                <m:t>k</m:t>
              </m:r>
              <m:r>
                <m:t>)</m:t>
              </m:r>
            </m:oMath>
          </w:p>
        </w:tc>
        <w:tc>
          <w:tcPr>
            <w:tcBorders>
              <w:bottom w:val="single"/>
            </w:tcBorders>
            <w:vAlign w:val="bottom"/>
          </w:tcPr>
          <w:p>
            <w:pPr>
              <w:pStyle w:val="Compact"/>
              <w:jc w:val="left"/>
            </w:pPr>
            <m:oMath>
              <m:r>
                <m:t>(</m:t>
              </m:r>
              <m:r>
                <m:t>k</m:t>
              </m:r>
              <m:r>
                <m:t>−</m:t>
              </m:r>
              <m:r>
                <m:t>2</m:t>
              </m:r>
              <m:sSup>
                <m:e>
                  <m:r>
                    <m:t>)</m:t>
                  </m:r>
                </m:e>
                <m:sup>
                  <m:r>
                    <m:t>2</m:t>
                  </m:r>
                </m:sup>
              </m:sSup>
              <m:r>
                <m:t>⋅</m:t>
              </m:r>
              <m:r>
                <m:t>p</m:t>
              </m:r>
              <m:r>
                <m:t>(</m:t>
              </m:r>
              <m:r>
                <m:t>k</m:t>
              </m:r>
              <m:r>
                <m:t>)</m:t>
              </m:r>
            </m:oMath>
          </w:p>
        </w:tc>
      </w:tr>
      <w:tr>
        <w:tc>
          <w:p>
            <w:pPr>
              <w:pStyle w:val="Compact"/>
              <w:jc w:val="left"/>
            </w:pPr>
            <w:r>
              <w:t xml:space="preserve">0</w:t>
            </w:r>
          </w:p>
        </w:tc>
        <w:tc>
          <w:p>
            <w:pPr>
              <w:pStyle w:val="Compact"/>
              <w:jc w:val="left"/>
            </w:pPr>
            <w:r>
              <w:t xml:space="preserve">0.107</w:t>
            </w:r>
          </w:p>
        </w:tc>
        <w:tc>
          <w:p>
            <w:pPr>
              <w:pStyle w:val="Compact"/>
              <w:jc w:val="left"/>
            </w:pPr>
            <w:r>
              <w:t xml:space="preserve">0.429</w:t>
            </w:r>
          </w:p>
        </w:tc>
      </w:tr>
      <w:tr>
        <w:tc>
          <w:p>
            <w:pPr>
              <w:pStyle w:val="Compact"/>
              <w:jc w:val="left"/>
            </w:pPr>
            <w:r>
              <w:t xml:space="preserve">1</w:t>
            </w:r>
          </w:p>
        </w:tc>
        <w:tc>
          <w:p>
            <w:pPr>
              <w:pStyle w:val="Compact"/>
              <w:jc w:val="left"/>
            </w:pPr>
            <w:r>
              <w:t xml:space="preserve">0.268</w:t>
            </w:r>
          </w:p>
        </w:tc>
        <w:tc>
          <w:p>
            <w:pPr>
              <w:pStyle w:val="Compact"/>
              <w:jc w:val="left"/>
            </w:pPr>
            <w:r>
              <w:t xml:space="preserve">0.268</w:t>
            </w:r>
          </w:p>
        </w:tc>
      </w:tr>
      <w:tr>
        <w:tc>
          <w:p>
            <w:pPr>
              <w:pStyle w:val="Compact"/>
              <w:jc w:val="left"/>
            </w:pPr>
            <w:r>
              <w:t xml:space="preserve">2</w:t>
            </w:r>
          </w:p>
        </w:tc>
        <w:tc>
          <w:p>
            <w:pPr>
              <w:pStyle w:val="Compact"/>
              <w:jc w:val="left"/>
            </w:pPr>
            <w:r>
              <w:t xml:space="preserve">0.302</w:t>
            </w:r>
          </w:p>
        </w:tc>
        <w:tc>
          <w:p>
            <w:pPr>
              <w:pStyle w:val="Compact"/>
              <w:jc w:val="left"/>
            </w:pPr>
            <w:r>
              <w:t xml:space="preserve">0.000</w:t>
            </w:r>
          </w:p>
        </w:tc>
      </w:tr>
      <w:tr>
        <w:tc>
          <w:p>
            <w:pPr>
              <w:pStyle w:val="Compact"/>
              <w:jc w:val="left"/>
            </w:pPr>
            <w:r>
              <w:t xml:space="preserve">3</w:t>
            </w:r>
          </w:p>
        </w:tc>
        <w:tc>
          <w:p>
            <w:pPr>
              <w:pStyle w:val="Compact"/>
              <w:jc w:val="left"/>
            </w:pPr>
            <w:r>
              <w:t xml:space="preserve">0.201</w:t>
            </w:r>
          </w:p>
        </w:tc>
        <w:tc>
          <w:p>
            <w:pPr>
              <w:pStyle w:val="Compact"/>
              <w:jc w:val="left"/>
            </w:pPr>
            <w:r>
              <w:t xml:space="preserve">0.201</w:t>
            </w:r>
          </w:p>
        </w:tc>
      </w:tr>
      <w:tr>
        <w:tc>
          <w:p>
            <w:pPr>
              <w:pStyle w:val="Compact"/>
              <w:jc w:val="left"/>
            </w:pPr>
            <w:r>
              <w:t xml:space="preserve">4</w:t>
            </w:r>
          </w:p>
        </w:tc>
        <w:tc>
          <w:p>
            <w:pPr>
              <w:pStyle w:val="Compact"/>
              <w:jc w:val="left"/>
            </w:pPr>
            <w:r>
              <w:t xml:space="preserve">0.088</w:t>
            </w:r>
          </w:p>
        </w:tc>
        <w:tc>
          <w:p>
            <w:pPr>
              <w:pStyle w:val="Compact"/>
              <w:jc w:val="left"/>
            </w:pPr>
            <w:r>
              <w:t xml:space="preserve">0.352</w:t>
            </w:r>
          </w:p>
        </w:tc>
      </w:tr>
      <w:tr>
        <w:tc>
          <w:p>
            <w:pPr>
              <w:pStyle w:val="Compact"/>
              <w:jc w:val="left"/>
            </w:pPr>
            <w:r>
              <w:t xml:space="preserve">5</w:t>
            </w:r>
          </w:p>
        </w:tc>
        <w:tc>
          <w:p>
            <w:pPr>
              <w:pStyle w:val="Compact"/>
              <w:jc w:val="left"/>
            </w:pPr>
            <w:r>
              <w:t xml:space="preserve">0.026</w:t>
            </w:r>
          </w:p>
        </w:tc>
        <w:tc>
          <w:p>
            <w:pPr>
              <w:pStyle w:val="Compact"/>
              <w:jc w:val="left"/>
            </w:pPr>
            <w:r>
              <w:t xml:space="preserve">0.238</w:t>
            </w:r>
          </w:p>
        </w:tc>
      </w:tr>
      <w:tr>
        <w:tc>
          <w:p>
            <w:pPr>
              <w:pStyle w:val="Compact"/>
              <w:jc w:val="left"/>
            </w:pPr>
            <w:r>
              <w:t xml:space="preserve">6</w:t>
            </w:r>
          </w:p>
        </w:tc>
        <w:tc>
          <w:p>
            <w:pPr>
              <w:pStyle w:val="Compact"/>
              <w:jc w:val="left"/>
            </w:pPr>
            <w:r>
              <w:t xml:space="preserve">0.006</w:t>
            </w:r>
          </w:p>
        </w:tc>
        <w:tc>
          <w:p>
            <w:pPr>
              <w:pStyle w:val="Compact"/>
              <w:jc w:val="left"/>
            </w:pPr>
            <w:r>
              <w:t xml:space="preserve">0.088</w:t>
            </w:r>
          </w:p>
        </w:tc>
      </w:tr>
      <w:tr>
        <w:tc>
          <w:p>
            <w:pPr>
              <w:pStyle w:val="Compact"/>
              <w:jc w:val="left"/>
            </w:pPr>
            <w:r>
              <w:t xml:space="preserve">7</w:t>
            </w:r>
          </w:p>
        </w:tc>
        <w:tc>
          <w:p>
            <w:pPr>
              <w:pStyle w:val="Compact"/>
              <w:jc w:val="left"/>
            </w:pPr>
            <w:r>
              <w:t xml:space="preserve">0.001</w:t>
            </w:r>
          </w:p>
        </w:tc>
        <w:tc>
          <w:p>
            <w:pPr>
              <w:pStyle w:val="Compact"/>
              <w:jc w:val="left"/>
            </w:pPr>
            <w:r>
              <w:t xml:space="preserve">0.020</w:t>
            </w:r>
          </w:p>
        </w:tc>
      </w:tr>
      <w:tr>
        <w:tc>
          <w:p>
            <w:pPr>
              <w:pStyle w:val="Compact"/>
              <w:jc w:val="left"/>
            </w:pPr>
            <w:r>
              <w:t xml:space="preserve">8</w:t>
            </w:r>
          </w:p>
        </w:tc>
        <w:tc>
          <w:p>
            <w:pPr>
              <w:pStyle w:val="Compact"/>
              <w:jc w:val="left"/>
            </w:pPr>
            <w:r>
              <w:t xml:space="preserve">0.000</w:t>
            </w:r>
          </w:p>
        </w:tc>
        <w:tc>
          <w:p>
            <w:pPr>
              <w:pStyle w:val="Compact"/>
              <w:jc w:val="left"/>
            </w:pPr>
            <w:r>
              <w:t xml:space="preserve">0.003</w:t>
            </w:r>
          </w:p>
        </w:tc>
      </w:tr>
      <w:tr>
        <w:tc>
          <w:p>
            <w:pPr>
              <w:pStyle w:val="Compact"/>
              <w:jc w:val="left"/>
            </w:pPr>
            <w:r>
              <w:t xml:space="preserve">9</w:t>
            </w:r>
          </w:p>
        </w:tc>
        <w:tc>
          <w:p>
            <w:pPr>
              <w:pStyle w:val="Compact"/>
              <w:jc w:val="left"/>
            </w:pPr>
            <w:r>
              <w:t xml:space="preserve">0.000</w:t>
            </w:r>
          </w:p>
        </w:tc>
        <w:tc>
          <w:p>
            <w:pPr>
              <w:pStyle w:val="Compact"/>
              <w:jc w:val="left"/>
            </w:pPr>
            <w:r>
              <w:t xml:space="preserve">0.000</w:t>
            </w:r>
          </w:p>
        </w:tc>
      </w:tr>
      <w:tr>
        <w:tc>
          <w:p>
            <w:pPr>
              <w:pStyle w:val="Compact"/>
              <w:jc w:val="left"/>
            </w:pPr>
            <w:r>
              <w:t xml:space="preserve">10</w:t>
            </w:r>
          </w:p>
        </w:tc>
        <w:tc>
          <w:p>
            <w:pPr>
              <w:pStyle w:val="Compact"/>
              <w:jc w:val="left"/>
            </w:pPr>
            <w:r>
              <w:t xml:space="preserve">0.000</w:t>
            </w:r>
          </w:p>
        </w:tc>
        <w:tc>
          <w:p>
            <w:pPr>
              <w:pStyle w:val="Compact"/>
              <w:jc w:val="left"/>
            </w:pPr>
            <w:r>
              <w:t xml:space="preserve">0.000</w:t>
            </w:r>
          </w:p>
        </w:tc>
      </w:tr>
      <w:tr>
        <w:tc>
          <w:p/>
        </w:tc>
        <w:tc>
          <w:p>
            <w:pPr>
              <w:pStyle w:val="Compact"/>
              <w:jc w:val="left"/>
            </w:pPr>
            <w:r>
              <w:t xml:space="preserve">sum</w:t>
            </w:r>
          </w:p>
        </w:tc>
        <w:tc>
          <w:p>
            <w:pPr>
              <w:pStyle w:val="Compact"/>
              <w:jc w:val="left"/>
            </w:pPr>
            <w:r>
              <w:t xml:space="preserve">1.6</w:t>
            </w:r>
          </w:p>
        </w:tc>
      </w:tr>
    </w:tbl>
    <w:p>
      <w:pPr>
        <w:pStyle w:val="BodyText"/>
      </w:pPr>
      <w:r>
        <w:t xml:space="preserve">the variance is 1.6.</w:t>
      </w:r>
    </w:p>
    <w:p>
      <w:pPr>
        <w:pStyle w:val="BodyText"/>
      </w:pPr>
      <w:r>
        <w:rPr>
          <w:b/>
        </w:rPr>
        <w:t xml:space="preserve">Theorem</w:t>
      </w:r>
      <w:r>
        <w:t xml:space="preserve"> </w:t>
      </w:r>
      <w:r>
        <w:t xml:space="preserve">the variance of a Binomial distribution with parameters</w:t>
      </w:r>
      <w:r>
        <w:t xml:space="preserve"> </w:t>
      </w:r>
      <m:oMath>
        <m:r>
          <m:t>n</m:t>
        </m:r>
        <m:r>
          <m:t>,</m:t>
        </m:r>
        <m:r>
          <m:t>p</m:t>
        </m:r>
      </m:oMath>
      <w:r>
        <w:t xml:space="preserve"> </w:t>
      </w:r>
      <w:r>
        <w:t xml:space="preserve">is</w:t>
      </w:r>
      <w:r>
        <w:t xml:space="preserve"> </w:t>
      </w:r>
      <m:oMath>
        <m:sSup>
          <m:e>
            <m:r>
              <m:t>σ</m:t>
            </m:r>
          </m:e>
          <m:sup>
            <m:r>
              <m:t>2</m:t>
            </m:r>
          </m:sup>
        </m:sSup>
        <m:r>
          <m:t>=</m:t>
        </m:r>
        <m:r>
          <m:t>n</m:t>
        </m:r>
        <m:r>
          <m:t>p</m:t>
        </m:r>
        <m:r>
          <m:t>(</m:t>
        </m:r>
        <m:r>
          <m:t>1</m:t>
        </m:r>
        <m:r>
          <m:t>−</m:t>
        </m:r>
        <m:r>
          <m:t>p</m:t>
        </m:r>
        <m:r>
          <m:t>)</m:t>
        </m:r>
      </m:oMath>
    </w:p>
    <w:p>
      <w:pPr>
        <w:pStyle w:val="BodyText"/>
      </w:pPr>
      <w:r>
        <w:t xml:space="preserve">The variance is an example of a</w:t>
      </w:r>
      <w:r>
        <w:t xml:space="preserve"> </w:t>
      </w:r>
      <w:r>
        <w:rPr>
          <w:b/>
        </w:rPr>
        <w:t xml:space="preserve">second moment</w:t>
      </w:r>
      <w:r>
        <w:t xml:space="preserve"> </w:t>
      </w:r>
      <w:r>
        <w:t xml:space="preserve">which you may have seen, or will see, in physics class in the context of</w:t>
      </w:r>
      <w:r>
        <w:t xml:space="preserve"> </w:t>
      </w:r>
      <w:r>
        <w:t xml:space="preserve">“</w:t>
      </w:r>
      <w:r>
        <w:t xml:space="preserve">moments of inertia</w:t>
      </w:r>
      <w:r>
        <w:t xml:space="preserve">”</w:t>
      </w:r>
      <w:r>
        <w:t xml:space="preserve">, or later in Calculus class.</w:t>
      </w:r>
    </w:p>
    <w:p>
      <w:pPr>
        <w:pStyle w:val="Heading2"/>
      </w:pPr>
      <w:bookmarkStart w:id="26" w:name="median-and-standard-deviation"/>
      <w:r>
        <w:t xml:space="preserve">Median and Standard Deviation</w:t>
      </w:r>
      <w:bookmarkEnd w:id="26"/>
    </w:p>
    <w:p>
      <w:pPr>
        <w:pStyle w:val="FirstParagraph"/>
      </w:pPr>
      <w:r>
        <w:t xml:space="preserve">The mean is one measure of center. Another such measure is the</w:t>
      </w:r>
      <w:r>
        <w:t xml:space="preserve"> </w:t>
      </w:r>
      <w:r>
        <w:rPr>
          <w:b/>
        </w:rPr>
        <w:t xml:space="preserve">median</w:t>
      </w:r>
      <w:r>
        <w:t xml:space="preserve"> </w:t>
      </w:r>
      <w:r>
        <w:t xml:space="preserve">which is a number,</w:t>
      </w:r>
      <w:r>
        <w:t xml:space="preserve"> </w:t>
      </w:r>
      <m:oMath>
        <m:r>
          <m:t>t</m:t>
        </m:r>
      </m:oMath>
      <w:r>
        <w:t xml:space="preserve"> </w:t>
      </w:r>
      <w:r>
        <w:t xml:space="preserve">with the property that</w:t>
      </w:r>
      <w:r>
        <w:t xml:space="preserve"> </w:t>
      </w:r>
      <m:oMath>
        <m:r>
          <m:t>P</m:t>
        </m:r>
        <m:r>
          <m:t>r</m:t>
        </m:r>
        <m:r>
          <m:t>[</m:t>
        </m:r>
        <m:r>
          <m:t>x</m:t>
        </m:r>
        <m:r>
          <m:t>&gt;</m:t>
        </m:r>
        <m:r>
          <m:t>t</m:t>
        </m:r>
        <m:r>
          <m:t>]</m:t>
        </m:r>
        <m:r>
          <m:t>=</m:t>
        </m:r>
        <m:r>
          <m:t>P</m:t>
        </m:r>
        <m:r>
          <m:t>r</m:t>
        </m:r>
        <m:r>
          <m:t>[</m:t>
        </m:r>
        <m:r>
          <m:t>x</m:t>
        </m:r>
        <m:r>
          <m:t>&lt;</m:t>
        </m:r>
        <m:r>
          <m:t>t</m:t>
        </m:r>
        <m:r>
          <m:t>]</m:t>
        </m:r>
        <m:r>
          <m:t>=</m:t>
        </m:r>
        <m:f>
          <m:fPr>
            <m:type m:val="bar"/>
          </m:fPr>
          <m:num>
            <m:r>
              <m:t>1</m:t>
            </m:r>
          </m:num>
          <m:den>
            <m:r>
              <m:t>2</m:t>
            </m:r>
          </m:den>
        </m:f>
      </m:oMath>
      <w:r>
        <w:t xml:space="preserve">. In other words,</w:t>
      </w:r>
      <w:r>
        <w:t xml:space="preserve"> </w:t>
      </w:r>
      <m:oMath>
        <m:r>
          <m:t>t</m:t>
        </m:r>
      </m:oMath>
      <w:r>
        <w:t xml:space="preserve"> </w:t>
      </w:r>
      <w:r>
        <w:t xml:space="preserve">is in the middle of the distribution in the sense that half the probability is on either side.</w:t>
      </w:r>
    </w:p>
    <w:p>
      <w:pPr>
        <w:pStyle w:val="BodyText"/>
      </w:pPr>
      <w:r>
        <w:t xml:space="preserve">The</w:t>
      </w:r>
      <w:r>
        <w:t xml:space="preserve"> </w:t>
      </w:r>
      <w:r>
        <w:rPr>
          <w:b/>
        </w:rPr>
        <w:t xml:space="preserve">standard deviation</w:t>
      </w:r>
      <w:r>
        <w:t xml:space="preserve"> </w:t>
      </w:r>
      <w:r>
        <w:t xml:space="preserve">is simply the square root of the variance and is more commonly used in applied statistical analyses than the variance. The reason to prefer the standard deviation is that the units are correct. If a data set is in grams, for example, the variance, since it is a squared sum, has units of grams-squared. The standard deviation has unit of grams, and so it can be added and subtracted from the mean or data points as needed.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2023-08-30T15:01:59Z</dcterms:created>
  <dcterms:modified xsi:type="dcterms:W3CDTF">2023-08-30T15:01:59Z</dcterms:modified>
</cp:coreProperties>
</file>

<file path=docProps/custom.xml><?xml version="1.0" encoding="utf-8"?>
<Properties xmlns="http://schemas.openxmlformats.org/officeDocument/2006/custom-properties" xmlns:vt="http://schemas.openxmlformats.org/officeDocument/2006/docPropsVTypes"/>
</file>