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5B4DC" w14:textId="77777777" w:rsidR="0058110A" w:rsidRDefault="0058110A" w:rsidP="00C411F5">
      <w:pPr>
        <w:jc w:val="right"/>
        <w:rPr>
          <w:rFonts w:cs="Arial"/>
          <w:sz w:val="22"/>
          <w:szCs w:val="22"/>
          <w:lang w:val="es-MX"/>
        </w:rPr>
      </w:pPr>
    </w:p>
    <w:p w14:paraId="1FC4FAE4" w14:textId="76DC7074" w:rsidR="0058110A" w:rsidRDefault="00F56CD7" w:rsidP="00F56CD7">
      <w:pPr>
        <w:tabs>
          <w:tab w:val="left" w:pos="8939"/>
        </w:tabs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ab/>
      </w:r>
    </w:p>
    <w:p w14:paraId="15EAC8BD" w14:textId="21C86485" w:rsidR="008C0AF5" w:rsidRPr="008C0AF5" w:rsidRDefault="008C0AF5" w:rsidP="00C411F5">
      <w:pPr>
        <w:jc w:val="right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</w:p>
    <w:p w14:paraId="1C5577D4" w14:textId="77777777" w:rsidR="008C0AF5" w:rsidRPr="008C0AF5" w:rsidRDefault="008C0AF5" w:rsidP="008C0AF5">
      <w:pPr>
        <w:jc w:val="both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</w:p>
    <w:p w14:paraId="41CEF4A5" w14:textId="157A5EBD" w:rsidR="002F2DB5" w:rsidRDefault="00252520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Base de Conocimiento Generada dentro del Proyecto</w:t>
      </w:r>
    </w:p>
    <w:p w14:paraId="015300BA" w14:textId="78FEE177" w:rsidR="0058110A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651C96C7" w14:textId="6441FBB5" w:rsidR="0058110A" w:rsidRDefault="0058110A" w:rsidP="00C92B0F">
      <w:pPr>
        <w:tabs>
          <w:tab w:val="left" w:pos="1980"/>
        </w:tabs>
        <w:jc w:val="center"/>
        <w:rPr>
          <w:b/>
          <w:bCs/>
          <w:sz w:val="40"/>
          <w:szCs w:val="40"/>
          <w:lang w:val="es-MX"/>
        </w:rPr>
      </w:pPr>
      <w:r w:rsidRPr="00F56CD7">
        <w:rPr>
          <w:b/>
          <w:bCs/>
          <w:sz w:val="40"/>
          <w:szCs w:val="40"/>
          <w:lang w:val="es-MX"/>
        </w:rPr>
        <w:t>Optimización</w:t>
      </w:r>
      <w:r w:rsidR="00C92B0F" w:rsidRPr="00F56CD7">
        <w:rPr>
          <w:b/>
          <w:bCs/>
          <w:sz w:val="40"/>
          <w:szCs w:val="40"/>
          <w:lang w:val="es-MX"/>
        </w:rPr>
        <w:t xml:space="preserve"> y Desarrollo de Métodos de Inteligencia Computacional Aplicados a la Solución de Problemas en Biomedicina</w:t>
      </w:r>
    </w:p>
    <w:p w14:paraId="13993F2B" w14:textId="77777777" w:rsidR="00252520" w:rsidRDefault="00252520" w:rsidP="00C92B0F">
      <w:pPr>
        <w:tabs>
          <w:tab w:val="left" w:pos="1980"/>
        </w:tabs>
        <w:jc w:val="center"/>
        <w:rPr>
          <w:b/>
          <w:bCs/>
          <w:sz w:val="40"/>
          <w:szCs w:val="40"/>
          <w:lang w:val="es-MX"/>
        </w:rPr>
      </w:pPr>
    </w:p>
    <w:p w14:paraId="526236D4" w14:textId="06F8D893" w:rsidR="00252520" w:rsidRPr="00F56CD7" w:rsidRDefault="00252520" w:rsidP="00C92B0F">
      <w:pPr>
        <w:tabs>
          <w:tab w:val="left" w:pos="1980"/>
        </w:tabs>
        <w:jc w:val="center"/>
        <w:rPr>
          <w:b/>
          <w:bCs/>
          <w:sz w:val="40"/>
          <w:szCs w:val="40"/>
          <w:lang w:val="es-MX"/>
        </w:rPr>
      </w:pPr>
      <w:r>
        <w:rPr>
          <w:b/>
          <w:bCs/>
          <w:sz w:val="40"/>
          <w:szCs w:val="40"/>
          <w:lang w:val="es-MX"/>
        </w:rPr>
        <w:t>CIIC 232/2019</w:t>
      </w:r>
    </w:p>
    <w:p w14:paraId="6C7A490E" w14:textId="1CDE4852" w:rsidR="00C92B0F" w:rsidRDefault="00252520" w:rsidP="00252520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Responsable: Dr. Luis Carlos Padierna García</w:t>
      </w:r>
    </w:p>
    <w:p w14:paraId="6B2C72E6" w14:textId="5FE1BBAD" w:rsidR="00252520" w:rsidRDefault="00252520" w:rsidP="00252520">
      <w:pPr>
        <w:tabs>
          <w:tab w:val="left" w:pos="1980"/>
        </w:tabs>
        <w:rPr>
          <w:sz w:val="40"/>
          <w:szCs w:val="40"/>
          <w:lang w:val="es-MX"/>
        </w:rPr>
      </w:pPr>
    </w:p>
    <w:p w14:paraId="71E9C771" w14:textId="219B67D8" w:rsidR="00252520" w:rsidRPr="006C3A13" w:rsidRDefault="00252520" w:rsidP="00252520">
      <w:pPr>
        <w:tabs>
          <w:tab w:val="left" w:pos="1980"/>
        </w:tabs>
        <w:rPr>
          <w:b/>
          <w:bCs/>
          <w:sz w:val="36"/>
          <w:szCs w:val="36"/>
          <w:lang w:val="es-MX"/>
        </w:rPr>
      </w:pPr>
      <w:r w:rsidRPr="006C3A13">
        <w:rPr>
          <w:b/>
          <w:bCs/>
          <w:sz w:val="36"/>
          <w:szCs w:val="36"/>
          <w:lang w:val="es-MX"/>
        </w:rPr>
        <w:t>Introducción</w:t>
      </w:r>
    </w:p>
    <w:p w14:paraId="25EDD601" w14:textId="77777777" w:rsidR="00252520" w:rsidRDefault="00252520" w:rsidP="00252520">
      <w:pPr>
        <w:tabs>
          <w:tab w:val="left" w:pos="1980"/>
        </w:tabs>
        <w:jc w:val="both"/>
        <w:rPr>
          <w:lang w:val="es-MX"/>
        </w:rPr>
      </w:pPr>
    </w:p>
    <w:p w14:paraId="1E966895" w14:textId="77777777" w:rsidR="00086247" w:rsidRDefault="00252520" w:rsidP="00086247">
      <w:pPr>
        <w:jc w:val="both"/>
        <w:rPr>
          <w:lang w:val="es-MX"/>
        </w:rPr>
      </w:pPr>
      <w:r w:rsidRPr="00252520">
        <w:rPr>
          <w:lang w:val="es-MX"/>
        </w:rPr>
        <w:t>E</w:t>
      </w:r>
      <w:r>
        <w:rPr>
          <w:lang w:val="es-MX"/>
        </w:rPr>
        <w:t>n este documento se describen los artículos, imágenes, señales y bases de datos generadas por participantes del proyecto o recopiladas de repositorios públicos indicados en artículos relacionados con el tema de inteligencia computacional aplicada a biomedicina.</w:t>
      </w:r>
      <w:r w:rsidR="00086247">
        <w:rPr>
          <w:lang w:val="es-MX"/>
        </w:rPr>
        <w:t xml:space="preserve"> La base de conocimiento contiene </w:t>
      </w:r>
    </w:p>
    <w:p w14:paraId="0F45263E" w14:textId="672B2ABD" w:rsidR="00086247" w:rsidRDefault="00086247" w:rsidP="00086247">
      <w:pPr>
        <w:jc w:val="both"/>
        <w:rPr>
          <w:lang w:val="es-MX"/>
        </w:rPr>
      </w:pPr>
      <w:r w:rsidRPr="00B35F2B">
        <w:rPr>
          <w:lang w:val="es-MX"/>
        </w:rPr>
        <w:t xml:space="preserve">artículos del estado del arte sobre técnicas de inteligencia computacional aplicadas a la solución de problemas en biomedicina. También contiene </w:t>
      </w:r>
      <w:r w:rsidR="00F63956">
        <w:rPr>
          <w:lang w:val="es-MX"/>
        </w:rPr>
        <w:t>tres</w:t>
      </w:r>
      <w:r w:rsidRPr="00B35F2B">
        <w:rPr>
          <w:lang w:val="es-MX"/>
        </w:rPr>
        <w:t xml:space="preserve"> bancos de imágenes biomédicas, uno de señales ABR y 15 bases de datos con problemas de clasificación. </w:t>
      </w:r>
      <w:r w:rsidR="00F63956">
        <w:rPr>
          <w:lang w:val="es-MX"/>
        </w:rPr>
        <w:t>Dos</w:t>
      </w:r>
      <w:r w:rsidRPr="00B35F2B">
        <w:rPr>
          <w:lang w:val="es-MX"/>
        </w:rPr>
        <w:t xml:space="preserve"> de los bancos de imágenes</w:t>
      </w:r>
      <w:r w:rsidRPr="00B35F2B">
        <w:rPr>
          <w:lang w:val="es-MX"/>
        </w:rPr>
        <w:t xml:space="preserve"> (</w:t>
      </w:r>
      <w:proofErr w:type="spellStart"/>
      <w:r w:rsidRPr="00B35F2B">
        <w:rPr>
          <w:i/>
          <w:iCs/>
          <w:lang w:val="es-MX"/>
        </w:rPr>
        <w:t>pie_infrarrojo</w:t>
      </w:r>
      <w:proofErr w:type="spellEnd"/>
      <w:r w:rsidRPr="00B35F2B">
        <w:rPr>
          <w:lang w:val="es-MX"/>
        </w:rPr>
        <w:t xml:space="preserve"> y</w:t>
      </w:r>
      <w:r w:rsidR="0058729C" w:rsidRPr="00B35F2B">
        <w:rPr>
          <w:lang w:val="es-MX"/>
        </w:rPr>
        <w:t xml:space="preserve"> </w:t>
      </w:r>
      <w:proofErr w:type="spellStart"/>
      <w:r w:rsidR="0058729C" w:rsidRPr="00B35F2B">
        <w:rPr>
          <w:i/>
          <w:iCs/>
          <w:lang w:val="es-MX"/>
        </w:rPr>
        <w:t>Segmentación_celular_C</w:t>
      </w:r>
      <w:proofErr w:type="spellEnd"/>
      <w:r w:rsidR="0058729C" w:rsidRPr="00B35F2B">
        <w:rPr>
          <w:lang w:val="es-MX"/>
        </w:rPr>
        <w:t>)</w:t>
      </w:r>
      <w:r w:rsidRPr="00B35F2B">
        <w:rPr>
          <w:lang w:val="es-MX"/>
        </w:rPr>
        <w:t xml:space="preserve"> fueron adquiridos por participantes del proyecto, el resto fue seleccionado de diversos repositorios públicos</w:t>
      </w:r>
      <w:r w:rsidR="00B35F2B">
        <w:rPr>
          <w:lang w:val="es-MX"/>
        </w:rPr>
        <w:t xml:space="preserve"> señalados por los artículos más relevantes del estado del arte. La Tabla 1 describe brevemente los </w:t>
      </w:r>
      <w:proofErr w:type="spellStart"/>
      <w:r w:rsidR="00B35F2B">
        <w:rPr>
          <w:lang w:val="es-MX"/>
        </w:rPr>
        <w:t>datasets</w:t>
      </w:r>
      <w:proofErr w:type="spellEnd"/>
      <w:r w:rsidR="00B35F2B">
        <w:rPr>
          <w:lang w:val="es-MX"/>
        </w:rPr>
        <w:t xml:space="preserve"> de la base de conocimiento.</w:t>
      </w:r>
    </w:p>
    <w:p w14:paraId="2971273B" w14:textId="74FAD0BB" w:rsidR="006C3A13" w:rsidRDefault="006C3A13" w:rsidP="00086247">
      <w:pPr>
        <w:jc w:val="both"/>
        <w:rPr>
          <w:lang w:val="es-MX"/>
        </w:rPr>
      </w:pPr>
    </w:p>
    <w:p w14:paraId="55268F04" w14:textId="159B2F5D" w:rsidR="006C3A13" w:rsidRPr="006C3A13" w:rsidRDefault="006C3A13" w:rsidP="00086247">
      <w:pPr>
        <w:jc w:val="both"/>
        <w:rPr>
          <w:b/>
          <w:bCs/>
          <w:sz w:val="32"/>
          <w:szCs w:val="32"/>
          <w:lang w:val="es-MX"/>
        </w:rPr>
      </w:pPr>
      <w:r w:rsidRPr="006C3A13">
        <w:rPr>
          <w:b/>
          <w:bCs/>
          <w:sz w:val="32"/>
          <w:szCs w:val="32"/>
          <w:lang w:val="es-MX"/>
        </w:rPr>
        <w:t>Descripción de la Base de Conocimiento</w:t>
      </w:r>
    </w:p>
    <w:p w14:paraId="752347E2" w14:textId="400C5EFD" w:rsidR="008B6A66" w:rsidRDefault="008B6A66" w:rsidP="00252520">
      <w:pPr>
        <w:tabs>
          <w:tab w:val="left" w:pos="1980"/>
        </w:tabs>
        <w:jc w:val="both"/>
        <w:rPr>
          <w:lang w:val="es-MX"/>
        </w:rPr>
      </w:pPr>
    </w:p>
    <w:p w14:paraId="35A4F18B" w14:textId="34FBFA07" w:rsidR="00B35F2B" w:rsidRDefault="00B35F2B" w:rsidP="00252520">
      <w:pPr>
        <w:tabs>
          <w:tab w:val="left" w:pos="1980"/>
        </w:tabs>
        <w:jc w:val="both"/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</w:t>
      </w:r>
      <w:proofErr w:type="spellStart"/>
      <w:r w:rsidRPr="006C3A13">
        <w:rPr>
          <w:i/>
          <w:iCs/>
          <w:lang w:val="es-MX"/>
        </w:rPr>
        <w:t>Susan_overnight</w:t>
      </w:r>
      <w:proofErr w:type="spellEnd"/>
      <w:r>
        <w:rPr>
          <w:lang w:val="es-MX"/>
        </w:rPr>
        <w:t xml:space="preserve"> es una secuencia de video del área ventricular del cerebro. La secuencia consiste en 2500 imágenes, 1250 para cada uno de dos canales A y B. El canal B resultó ser de interés para </w:t>
      </w:r>
      <w:r>
        <w:rPr>
          <w:lang w:val="es-MX"/>
        </w:rPr>
        <w:t>la</w:t>
      </w:r>
      <w:r>
        <w:rPr>
          <w:lang w:val="es-MX"/>
        </w:rPr>
        <w:t xml:space="preserve"> Dra. Silvia Alejandra López Juárez, investigadora </w:t>
      </w:r>
      <w:r w:rsidR="00000BF4">
        <w:rPr>
          <w:lang w:val="es-MX"/>
        </w:rPr>
        <w:t>miembro</w:t>
      </w:r>
      <w:r>
        <w:rPr>
          <w:lang w:val="es-MX"/>
        </w:rPr>
        <w:t xml:space="preserve"> </w:t>
      </w:r>
      <w:r w:rsidR="00000BF4">
        <w:rPr>
          <w:lang w:val="es-MX"/>
        </w:rPr>
        <w:t>de</w:t>
      </w:r>
      <w:r>
        <w:rPr>
          <w:lang w:val="es-MX"/>
        </w:rPr>
        <w:t>l Cuerpo Académico de Ingeniería Biomédica (</w:t>
      </w:r>
      <w:r w:rsidRPr="00000BF4">
        <w:rPr>
          <w:b/>
          <w:bCs/>
          <w:lang w:val="es-MX"/>
        </w:rPr>
        <w:t>CAIB</w:t>
      </w:r>
      <w:r>
        <w:rPr>
          <w:lang w:val="es-MX"/>
        </w:rPr>
        <w:t>), debido a que muestra el proceso de neurogénesis en una zona del cerebro.</w:t>
      </w:r>
      <w:r>
        <w:rPr>
          <w:lang w:val="es-MX"/>
        </w:rPr>
        <w:t xml:space="preserve"> Actualmente se trabaja con este banco de imágenes </w:t>
      </w:r>
      <w:r w:rsidR="00F35ACC">
        <w:rPr>
          <w:lang w:val="es-MX"/>
        </w:rPr>
        <w:t>segmentando regiones de interés para rastreo de nuevas neuronas observadas en las imágenes.</w:t>
      </w:r>
      <w:r w:rsidR="00EB4C99">
        <w:rPr>
          <w:lang w:val="es-MX"/>
        </w:rPr>
        <w:t xml:space="preserve"> La Figura 1 muestra una de las 2500 imágenes.</w:t>
      </w:r>
    </w:p>
    <w:p w14:paraId="4C68E24E" w14:textId="5A66E7E1" w:rsidR="00EB4C99" w:rsidRDefault="00EB4C99" w:rsidP="00EB4C99">
      <w:pPr>
        <w:tabs>
          <w:tab w:val="left" w:pos="1980"/>
        </w:tabs>
        <w:jc w:val="center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5DB912DA" wp14:editId="1E1007B5">
            <wp:extent cx="2851150" cy="2851150"/>
            <wp:effectExtent l="0" t="0" r="6350" b="6350"/>
            <wp:docPr id="2" name="Imagen 2" descr="Imagen que contiene exterior, blanco, su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san_overnight_c02_t0049_z0007.t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8831" w14:textId="6BC2ADB7" w:rsidR="00EB4C99" w:rsidRPr="00EB4C99" w:rsidRDefault="00EB4C99" w:rsidP="00EB4C99">
      <w:pPr>
        <w:tabs>
          <w:tab w:val="left" w:pos="1980"/>
        </w:tabs>
        <w:jc w:val="center"/>
        <w:rPr>
          <w:sz w:val="18"/>
          <w:szCs w:val="18"/>
          <w:lang w:val="es-MX"/>
        </w:rPr>
      </w:pPr>
      <w:r w:rsidRPr="00EB4C99">
        <w:rPr>
          <w:sz w:val="18"/>
          <w:szCs w:val="18"/>
          <w:lang w:val="es-MX"/>
        </w:rPr>
        <w:t>Figura 1. Ejemplo de imagen de zona ventricular del cerebro (Canal A). Los puntos más brillantes son núcleos de neuronas.</w:t>
      </w:r>
    </w:p>
    <w:p w14:paraId="717D03E4" w14:textId="43B38C47" w:rsidR="006C3A13" w:rsidRDefault="006C3A13" w:rsidP="00252520">
      <w:pPr>
        <w:tabs>
          <w:tab w:val="left" w:pos="1980"/>
        </w:tabs>
        <w:jc w:val="both"/>
        <w:rPr>
          <w:lang w:val="es-MX"/>
        </w:rPr>
      </w:pPr>
    </w:p>
    <w:p w14:paraId="1A19D082" w14:textId="4B7A8B41" w:rsidR="008B6A66" w:rsidRDefault="008B6A66" w:rsidP="008B6A66">
      <w:pPr>
        <w:jc w:val="center"/>
        <w:rPr>
          <w:lang w:val="es-MX"/>
        </w:rPr>
      </w:pPr>
      <w:r>
        <w:rPr>
          <w:lang w:val="es-MX"/>
        </w:rPr>
        <w:t xml:space="preserve">Tabla 1. </w:t>
      </w:r>
      <w:r w:rsidR="00F35ACC">
        <w:rPr>
          <w:lang w:val="es-MX"/>
        </w:rPr>
        <w:t>Imágenes, señales y bases de datos</w:t>
      </w:r>
      <w:r>
        <w:rPr>
          <w:lang w:val="es-MX"/>
        </w:rPr>
        <w:t xml:space="preserve"> </w:t>
      </w:r>
      <w:r w:rsidR="00F35ACC">
        <w:rPr>
          <w:lang w:val="es-MX"/>
        </w:rPr>
        <w:t>obtenid</w:t>
      </w:r>
      <w:r w:rsidR="00000BF4">
        <w:rPr>
          <w:lang w:val="es-MX"/>
        </w:rPr>
        <w:t>a</w:t>
      </w:r>
      <w:r w:rsidR="00F35ACC">
        <w:rPr>
          <w:lang w:val="es-MX"/>
        </w:rPr>
        <w:t>s</w:t>
      </w:r>
      <w:r>
        <w:rPr>
          <w:lang w:val="es-MX"/>
        </w:rPr>
        <w:t xml:space="preserve"> </w:t>
      </w:r>
      <w:r w:rsidR="00F35ACC">
        <w:rPr>
          <w:lang w:val="es-MX"/>
        </w:rPr>
        <w:t>por los participantes del proyecto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65"/>
        <w:gridCol w:w="2017"/>
        <w:gridCol w:w="5493"/>
        <w:gridCol w:w="1696"/>
      </w:tblGrid>
      <w:tr w:rsidR="00ED61AD" w:rsidRPr="005D61AB" w14:paraId="754E0505" w14:textId="77777777" w:rsidTr="00ED61AD">
        <w:tc>
          <w:tcPr>
            <w:tcW w:w="289" w:type="pct"/>
          </w:tcPr>
          <w:p w14:paraId="6B60D81A" w14:textId="77777777" w:rsidR="00ED61AD" w:rsidRPr="005D61AB" w:rsidRDefault="00ED61AD" w:rsidP="001C7E47">
            <w:pPr>
              <w:jc w:val="both"/>
              <w:rPr>
                <w:sz w:val="20"/>
                <w:szCs w:val="20"/>
              </w:rPr>
            </w:pPr>
            <w:r w:rsidRPr="005D61AB">
              <w:rPr>
                <w:sz w:val="20"/>
                <w:szCs w:val="20"/>
              </w:rPr>
              <w:t>N</w:t>
            </w:r>
          </w:p>
        </w:tc>
        <w:tc>
          <w:tcPr>
            <w:tcW w:w="1032" w:type="pct"/>
          </w:tcPr>
          <w:p w14:paraId="7D4F4538" w14:textId="77777777" w:rsidR="00ED61AD" w:rsidRPr="005D61AB" w:rsidRDefault="00ED61AD" w:rsidP="001C7E47">
            <w:pPr>
              <w:jc w:val="center"/>
              <w:rPr>
                <w:sz w:val="20"/>
                <w:szCs w:val="20"/>
              </w:rPr>
            </w:pPr>
            <w:proofErr w:type="spellStart"/>
            <w:r w:rsidRPr="005D61AB">
              <w:rPr>
                <w:sz w:val="20"/>
                <w:szCs w:val="20"/>
              </w:rPr>
              <w:t>Dataset</w:t>
            </w:r>
            <w:proofErr w:type="spellEnd"/>
          </w:p>
        </w:tc>
        <w:tc>
          <w:tcPr>
            <w:tcW w:w="2811" w:type="pct"/>
          </w:tcPr>
          <w:p w14:paraId="651F6536" w14:textId="24E341E4" w:rsidR="00ED61AD" w:rsidRPr="005D61AB" w:rsidRDefault="00ED61AD" w:rsidP="001C7E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868" w:type="pct"/>
          </w:tcPr>
          <w:p w14:paraId="007AA9CE" w14:textId="77777777" w:rsidR="00ED61AD" w:rsidRPr="005D61AB" w:rsidRDefault="00ED61AD" w:rsidP="001C7E47">
            <w:pPr>
              <w:jc w:val="center"/>
              <w:rPr>
                <w:sz w:val="20"/>
                <w:szCs w:val="20"/>
              </w:rPr>
            </w:pPr>
            <w:r w:rsidRPr="005D61AB">
              <w:rPr>
                <w:sz w:val="20"/>
                <w:szCs w:val="20"/>
              </w:rPr>
              <w:t>Propietario</w:t>
            </w:r>
          </w:p>
        </w:tc>
      </w:tr>
      <w:tr w:rsidR="00ED61AD" w:rsidRPr="005D61AB" w14:paraId="0A08D9EF" w14:textId="77777777" w:rsidTr="00ED61AD">
        <w:tc>
          <w:tcPr>
            <w:tcW w:w="289" w:type="pct"/>
            <w:vAlign w:val="center"/>
          </w:tcPr>
          <w:p w14:paraId="4D238F5F" w14:textId="77777777" w:rsidR="00ED61AD" w:rsidRPr="005D61AB" w:rsidRDefault="00ED61AD" w:rsidP="001C7E47">
            <w:pPr>
              <w:jc w:val="both"/>
              <w:rPr>
                <w:sz w:val="20"/>
                <w:szCs w:val="20"/>
              </w:rPr>
            </w:pPr>
            <w:r w:rsidRPr="005D61AB">
              <w:rPr>
                <w:sz w:val="20"/>
                <w:szCs w:val="20"/>
              </w:rPr>
              <w:t>1</w:t>
            </w:r>
          </w:p>
        </w:tc>
        <w:tc>
          <w:tcPr>
            <w:tcW w:w="1032" w:type="pct"/>
            <w:vAlign w:val="center"/>
          </w:tcPr>
          <w:p w14:paraId="68400168" w14:textId="77777777" w:rsidR="00ED61AD" w:rsidRPr="005D61AB" w:rsidRDefault="00ED61AD" w:rsidP="001C7E47">
            <w:pPr>
              <w:jc w:val="center"/>
              <w:rPr>
                <w:sz w:val="20"/>
                <w:szCs w:val="20"/>
              </w:rPr>
            </w:pPr>
            <w:proofErr w:type="spellStart"/>
            <w:r w:rsidRPr="005D61AB">
              <w:rPr>
                <w:sz w:val="20"/>
                <w:szCs w:val="20"/>
              </w:rPr>
              <w:t>Susan_overnigth</w:t>
            </w:r>
            <w:proofErr w:type="spellEnd"/>
          </w:p>
        </w:tc>
        <w:tc>
          <w:tcPr>
            <w:tcW w:w="2811" w:type="pct"/>
          </w:tcPr>
          <w:p w14:paraId="7A82E113" w14:textId="55132FB0" w:rsidR="00ED61AD" w:rsidRPr="005D61AB" w:rsidRDefault="00ED61AD" w:rsidP="001C7E47">
            <w:pPr>
              <w:jc w:val="both"/>
              <w:rPr>
                <w:sz w:val="20"/>
                <w:szCs w:val="20"/>
              </w:rPr>
            </w:pPr>
            <w:r w:rsidRPr="005D61AB">
              <w:rPr>
                <w:sz w:val="20"/>
                <w:szCs w:val="20"/>
              </w:rPr>
              <w:t>1250 imágenes de zona ventricular del cerebro</w:t>
            </w:r>
            <w:r>
              <w:rPr>
                <w:sz w:val="20"/>
                <w:szCs w:val="20"/>
              </w:rPr>
              <w:t xml:space="preserve"> (Canal B) que representan una secuencia de video del proceso de Neurogénesis.</w:t>
            </w:r>
          </w:p>
        </w:tc>
        <w:tc>
          <w:tcPr>
            <w:tcW w:w="868" w:type="pct"/>
          </w:tcPr>
          <w:p w14:paraId="0A017E22" w14:textId="01AEB7BF" w:rsidR="00ED61AD" w:rsidRPr="005D61AB" w:rsidRDefault="00ED61AD" w:rsidP="001C7E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Repositorio público</w:t>
            </w:r>
          </w:p>
        </w:tc>
      </w:tr>
      <w:tr w:rsidR="00ED61AD" w:rsidRPr="005D61AB" w14:paraId="6F435F21" w14:textId="77777777" w:rsidTr="00ED61AD">
        <w:tc>
          <w:tcPr>
            <w:tcW w:w="289" w:type="pct"/>
            <w:vAlign w:val="center"/>
          </w:tcPr>
          <w:p w14:paraId="109D6B49" w14:textId="77777777" w:rsidR="00ED61AD" w:rsidRPr="005D61AB" w:rsidRDefault="00ED61AD" w:rsidP="001C7E47">
            <w:pPr>
              <w:jc w:val="both"/>
              <w:rPr>
                <w:sz w:val="20"/>
                <w:szCs w:val="20"/>
              </w:rPr>
            </w:pPr>
            <w:r w:rsidRPr="005D61AB">
              <w:rPr>
                <w:sz w:val="20"/>
                <w:szCs w:val="20"/>
              </w:rPr>
              <w:t>2</w:t>
            </w:r>
          </w:p>
        </w:tc>
        <w:tc>
          <w:tcPr>
            <w:tcW w:w="1032" w:type="pct"/>
            <w:vAlign w:val="center"/>
          </w:tcPr>
          <w:p w14:paraId="0229919C" w14:textId="0B0BA6BC" w:rsidR="00ED61AD" w:rsidRPr="005D61AB" w:rsidRDefault="00ED61AD" w:rsidP="001C7E47">
            <w:pPr>
              <w:jc w:val="center"/>
              <w:rPr>
                <w:sz w:val="20"/>
                <w:szCs w:val="20"/>
              </w:rPr>
            </w:pPr>
            <w:proofErr w:type="spellStart"/>
            <w:r w:rsidRPr="005D61AB">
              <w:rPr>
                <w:sz w:val="20"/>
                <w:szCs w:val="20"/>
              </w:rPr>
              <w:t>P</w:t>
            </w:r>
            <w:r w:rsidRPr="005D61AB">
              <w:rPr>
                <w:sz w:val="20"/>
                <w:szCs w:val="20"/>
              </w:rPr>
              <w:t>ie_infrarrojo</w:t>
            </w:r>
            <w:proofErr w:type="spellEnd"/>
          </w:p>
        </w:tc>
        <w:tc>
          <w:tcPr>
            <w:tcW w:w="2811" w:type="pct"/>
          </w:tcPr>
          <w:p w14:paraId="0FC3C918" w14:textId="3DC40F9D" w:rsidR="00ED61AD" w:rsidRPr="005D61AB" w:rsidRDefault="00ED61AD" w:rsidP="001C7E47">
            <w:pPr>
              <w:jc w:val="both"/>
              <w:rPr>
                <w:sz w:val="20"/>
                <w:szCs w:val="20"/>
              </w:rPr>
            </w:pPr>
            <w:r w:rsidRPr="005D61AB">
              <w:rPr>
                <w:sz w:val="20"/>
                <w:szCs w:val="20"/>
              </w:rPr>
              <w:t>200 imágenes en escala de grises de 100</w:t>
            </w:r>
            <w:r w:rsidR="004A5419">
              <w:rPr>
                <w:sz w:val="20"/>
                <w:szCs w:val="20"/>
              </w:rPr>
              <w:t xml:space="preserve"> de pies</w:t>
            </w:r>
            <w:r w:rsidRPr="005D61AB">
              <w:rPr>
                <w:sz w:val="20"/>
                <w:szCs w:val="20"/>
              </w:rPr>
              <w:t xml:space="preserve"> sanos y 100 </w:t>
            </w:r>
            <w:r w:rsidR="004A5419">
              <w:rPr>
                <w:sz w:val="20"/>
                <w:szCs w:val="20"/>
              </w:rPr>
              <w:t xml:space="preserve">de pies </w:t>
            </w:r>
            <w:r w:rsidRPr="005D61AB">
              <w:rPr>
                <w:sz w:val="20"/>
                <w:szCs w:val="20"/>
              </w:rPr>
              <w:t>con diabetes.</w:t>
            </w:r>
            <w:r w:rsidRPr="005D61AB">
              <w:rPr>
                <w:sz w:val="20"/>
                <w:szCs w:val="20"/>
              </w:rPr>
              <w:t xml:space="preserve"> </w:t>
            </w:r>
            <w:r w:rsidRPr="005D61AB">
              <w:rPr>
                <w:sz w:val="20"/>
                <w:szCs w:val="20"/>
              </w:rPr>
              <w:t>Tomadas con cámara infrarrojo por investigadores y estudiantes asociados</w:t>
            </w:r>
          </w:p>
        </w:tc>
        <w:tc>
          <w:tcPr>
            <w:tcW w:w="868" w:type="pct"/>
          </w:tcPr>
          <w:p w14:paraId="650652C5" w14:textId="732090EC" w:rsidR="00ED61AD" w:rsidRPr="005D61AB" w:rsidRDefault="00ED61AD" w:rsidP="001C7E47">
            <w:pPr>
              <w:jc w:val="both"/>
              <w:rPr>
                <w:sz w:val="20"/>
                <w:szCs w:val="20"/>
              </w:rPr>
            </w:pPr>
            <w:r w:rsidRPr="005D61AB">
              <w:rPr>
                <w:sz w:val="20"/>
                <w:szCs w:val="20"/>
              </w:rPr>
              <w:t>DCI_UG (Dr. Carlos Villaseñor)</w:t>
            </w:r>
            <w:r>
              <w:rPr>
                <w:sz w:val="20"/>
                <w:szCs w:val="20"/>
              </w:rPr>
              <w:t xml:space="preserve"> </w:t>
            </w:r>
            <w:r w:rsidRPr="005D61AB">
              <w:rPr>
                <w:sz w:val="20"/>
                <w:szCs w:val="20"/>
              </w:rPr>
              <w:t>/ IMSS T1 León</w:t>
            </w:r>
          </w:p>
        </w:tc>
      </w:tr>
      <w:tr w:rsidR="00ED61AD" w:rsidRPr="005D61AB" w14:paraId="1C23382B" w14:textId="77777777" w:rsidTr="00ED61AD">
        <w:tc>
          <w:tcPr>
            <w:tcW w:w="289" w:type="pct"/>
            <w:vMerge w:val="restart"/>
            <w:vAlign w:val="center"/>
          </w:tcPr>
          <w:p w14:paraId="06A57246" w14:textId="77777777" w:rsidR="00ED61AD" w:rsidRPr="005D61AB" w:rsidRDefault="00ED61AD" w:rsidP="001C7E47">
            <w:pPr>
              <w:jc w:val="both"/>
              <w:rPr>
                <w:sz w:val="20"/>
                <w:szCs w:val="20"/>
              </w:rPr>
            </w:pPr>
            <w:r w:rsidRPr="005D61AB">
              <w:rPr>
                <w:sz w:val="20"/>
                <w:szCs w:val="20"/>
              </w:rPr>
              <w:t>3</w:t>
            </w:r>
          </w:p>
        </w:tc>
        <w:tc>
          <w:tcPr>
            <w:tcW w:w="1032" w:type="pct"/>
            <w:vMerge w:val="restart"/>
            <w:vAlign w:val="center"/>
          </w:tcPr>
          <w:p w14:paraId="141D8F85" w14:textId="28A3042F" w:rsidR="00ED61AD" w:rsidRPr="005D61AB" w:rsidRDefault="00ED61AD" w:rsidP="001C7E47">
            <w:pPr>
              <w:jc w:val="center"/>
              <w:rPr>
                <w:sz w:val="20"/>
                <w:szCs w:val="20"/>
              </w:rPr>
            </w:pPr>
            <w:proofErr w:type="spellStart"/>
            <w:r w:rsidRPr="005D61AB">
              <w:rPr>
                <w:sz w:val="20"/>
                <w:szCs w:val="20"/>
              </w:rPr>
              <w:t>Segmentación</w:t>
            </w:r>
            <w:r w:rsidRPr="005D61AB">
              <w:rPr>
                <w:sz w:val="20"/>
                <w:szCs w:val="20"/>
              </w:rPr>
              <w:t>_</w:t>
            </w:r>
            <w:r w:rsidRPr="005D61AB">
              <w:rPr>
                <w:sz w:val="20"/>
                <w:szCs w:val="20"/>
              </w:rPr>
              <w:t>celular</w:t>
            </w:r>
            <w:proofErr w:type="spellEnd"/>
          </w:p>
        </w:tc>
        <w:tc>
          <w:tcPr>
            <w:tcW w:w="2811" w:type="pct"/>
          </w:tcPr>
          <w:p w14:paraId="4D179B9C" w14:textId="2D55C588" w:rsidR="00ED61AD" w:rsidRPr="005D61AB" w:rsidRDefault="00ED61AD" w:rsidP="001C7E47">
            <w:pPr>
              <w:jc w:val="both"/>
              <w:rPr>
                <w:sz w:val="20"/>
                <w:szCs w:val="20"/>
              </w:rPr>
            </w:pPr>
            <w:r w:rsidRPr="005D61AB">
              <w:rPr>
                <w:sz w:val="20"/>
                <w:szCs w:val="20"/>
              </w:rPr>
              <w:t xml:space="preserve">A) </w:t>
            </w:r>
            <w:r w:rsidRPr="005D61AB">
              <w:rPr>
                <w:sz w:val="20"/>
                <w:szCs w:val="20"/>
              </w:rPr>
              <w:t xml:space="preserve">100 </w:t>
            </w:r>
            <w:r w:rsidR="00000BF4">
              <w:rPr>
                <w:sz w:val="20"/>
                <w:szCs w:val="20"/>
              </w:rPr>
              <w:t xml:space="preserve">imágenes de células blancas segmentadas </w:t>
            </w:r>
            <w:r w:rsidRPr="005D61AB">
              <w:rPr>
                <w:sz w:val="20"/>
                <w:szCs w:val="20"/>
              </w:rPr>
              <w:t>y</w:t>
            </w:r>
            <w:r w:rsidR="00000BF4">
              <w:rPr>
                <w:sz w:val="20"/>
                <w:szCs w:val="20"/>
              </w:rPr>
              <w:t xml:space="preserve"> sus respectivas </w:t>
            </w:r>
            <w:r w:rsidRPr="005D61AB">
              <w:rPr>
                <w:sz w:val="20"/>
                <w:szCs w:val="20"/>
              </w:rPr>
              <w:t>máscaras</w:t>
            </w:r>
            <w:r w:rsidR="00000BF4">
              <w:rPr>
                <w:sz w:val="20"/>
                <w:szCs w:val="20"/>
              </w:rPr>
              <w:t xml:space="preserve"> señalando la región deseada a segmentar</w:t>
            </w:r>
            <w:r w:rsidRPr="005D61AB">
              <w:rPr>
                <w:sz w:val="20"/>
                <w:szCs w:val="20"/>
              </w:rPr>
              <w:t xml:space="preserve"> </w:t>
            </w:r>
          </w:p>
          <w:p w14:paraId="17533E05" w14:textId="22E19CE2" w:rsidR="00ED61AD" w:rsidRPr="005D61AB" w:rsidRDefault="00000BF4" w:rsidP="00ED61A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D61AB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3</w:t>
            </w:r>
            <w:r w:rsidRPr="005D61AB">
              <w:rPr>
                <w:sz w:val="20"/>
                <w:szCs w:val="20"/>
              </w:rPr>
              <w:t xml:space="preserve">00 </w:t>
            </w:r>
            <w:r>
              <w:rPr>
                <w:sz w:val="20"/>
                <w:szCs w:val="20"/>
              </w:rPr>
              <w:t xml:space="preserve">imágenes de células blancas segmentadas </w:t>
            </w:r>
            <w:r w:rsidRPr="005D61AB"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 xml:space="preserve"> sus respectivas </w:t>
            </w:r>
            <w:r w:rsidRPr="005D61AB">
              <w:rPr>
                <w:sz w:val="20"/>
                <w:szCs w:val="20"/>
              </w:rPr>
              <w:t>máscaras</w:t>
            </w:r>
            <w:r>
              <w:rPr>
                <w:sz w:val="20"/>
                <w:szCs w:val="20"/>
              </w:rPr>
              <w:t xml:space="preserve"> señalando la región deseada a segmentar</w:t>
            </w:r>
            <w:r w:rsidRPr="005D61A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8" w:type="pct"/>
          </w:tcPr>
          <w:p w14:paraId="6F7F0414" w14:textId="66502604" w:rsidR="00ED61AD" w:rsidRPr="005D61AB" w:rsidRDefault="00ED61AD" w:rsidP="001C7E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Repositorio público</w:t>
            </w:r>
          </w:p>
        </w:tc>
      </w:tr>
      <w:tr w:rsidR="00ED61AD" w:rsidRPr="005D61AB" w14:paraId="6E9CF8A0" w14:textId="77777777" w:rsidTr="00ED61AD">
        <w:tc>
          <w:tcPr>
            <w:tcW w:w="289" w:type="pct"/>
            <w:vMerge/>
            <w:vAlign w:val="center"/>
          </w:tcPr>
          <w:p w14:paraId="0E2E8F15" w14:textId="77777777" w:rsidR="00ED61AD" w:rsidRPr="005D61AB" w:rsidRDefault="00ED61AD" w:rsidP="001C7E4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32" w:type="pct"/>
            <w:vMerge/>
            <w:vAlign w:val="center"/>
          </w:tcPr>
          <w:p w14:paraId="2B33DAB8" w14:textId="77777777" w:rsidR="00ED61AD" w:rsidRPr="005D61AB" w:rsidRDefault="00ED61AD" w:rsidP="001C7E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1" w:type="pct"/>
          </w:tcPr>
          <w:p w14:paraId="6220DAB1" w14:textId="2D3E0125" w:rsidR="00ED61AD" w:rsidRPr="00000BF4" w:rsidRDefault="00000BF4" w:rsidP="001C7E4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5D61AB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15</w:t>
            </w:r>
            <w:r w:rsidRPr="005D61AB">
              <w:rPr>
                <w:sz w:val="20"/>
                <w:szCs w:val="20"/>
              </w:rPr>
              <w:t xml:space="preserve">0 </w:t>
            </w:r>
            <w:r>
              <w:rPr>
                <w:sz w:val="20"/>
                <w:szCs w:val="20"/>
              </w:rPr>
              <w:t xml:space="preserve">imágenes de células blancas segmentadas </w:t>
            </w:r>
            <w:r w:rsidRPr="005D61AB"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 xml:space="preserve"> sus respectivas </w:t>
            </w:r>
            <w:r w:rsidRPr="005D61AB">
              <w:rPr>
                <w:sz w:val="20"/>
                <w:szCs w:val="20"/>
              </w:rPr>
              <w:t>máscaras</w:t>
            </w:r>
            <w:r>
              <w:rPr>
                <w:sz w:val="20"/>
                <w:szCs w:val="20"/>
              </w:rPr>
              <w:t xml:space="preserve"> señalando la región deseada a segmentar</w:t>
            </w:r>
            <w:r>
              <w:rPr>
                <w:sz w:val="20"/>
                <w:szCs w:val="20"/>
              </w:rPr>
              <w:t xml:space="preserve">. </w:t>
            </w:r>
            <w:r w:rsidR="00ED61AD" w:rsidRPr="005D61AB">
              <w:rPr>
                <w:sz w:val="20"/>
                <w:szCs w:val="20"/>
              </w:rPr>
              <w:t>Tomadas de frotis de A</w:t>
            </w:r>
            <w:r>
              <w:rPr>
                <w:sz w:val="20"/>
                <w:szCs w:val="20"/>
              </w:rPr>
              <w:t xml:space="preserve">spirado de </w:t>
            </w:r>
            <w:r w:rsidR="00ED61AD" w:rsidRPr="005D61AB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édula Ósea</w:t>
            </w:r>
            <w:r w:rsidR="00ED61AD" w:rsidRPr="005D61AB">
              <w:rPr>
                <w:sz w:val="20"/>
                <w:szCs w:val="20"/>
              </w:rPr>
              <w:t xml:space="preserve"> de 5 pacientes (</w:t>
            </w:r>
            <w:proofErr w:type="gramStart"/>
            <w:r w:rsidR="00ED61AD" w:rsidRPr="005D61AB">
              <w:rPr>
                <w:sz w:val="20"/>
                <w:szCs w:val="20"/>
              </w:rPr>
              <w:t>A,B</w:t>
            </w:r>
            <w:proofErr w:type="gramEnd"/>
            <w:r w:rsidR="00ED61AD" w:rsidRPr="005D61AB">
              <w:rPr>
                <w:sz w:val="20"/>
                <w:szCs w:val="20"/>
              </w:rPr>
              <w:t xml:space="preserve">,C,D,E) con microscopio óptico a Mx1000 y cámara de celular de 12 </w:t>
            </w:r>
            <w:proofErr w:type="spellStart"/>
            <w:r w:rsidR="00ED61AD" w:rsidRPr="005D61AB">
              <w:rPr>
                <w:sz w:val="20"/>
                <w:szCs w:val="20"/>
              </w:rPr>
              <w:t>Mpx</w:t>
            </w:r>
            <w:proofErr w:type="spellEnd"/>
          </w:p>
        </w:tc>
        <w:tc>
          <w:tcPr>
            <w:tcW w:w="868" w:type="pct"/>
          </w:tcPr>
          <w:p w14:paraId="2172B4C2" w14:textId="77777777" w:rsidR="00ED61AD" w:rsidRPr="005D61AB" w:rsidRDefault="00ED61AD" w:rsidP="001C7E47">
            <w:pPr>
              <w:jc w:val="both"/>
              <w:rPr>
                <w:sz w:val="20"/>
                <w:szCs w:val="20"/>
              </w:rPr>
            </w:pPr>
            <w:r w:rsidRPr="005D61AB">
              <w:rPr>
                <w:sz w:val="20"/>
                <w:szCs w:val="20"/>
              </w:rPr>
              <w:t>DCI_UG (Dr. Arturo González) / Hospital General Regional de León</w:t>
            </w:r>
          </w:p>
        </w:tc>
      </w:tr>
      <w:tr w:rsidR="00ED61AD" w:rsidRPr="00ED61AD" w14:paraId="51D37266" w14:textId="77777777" w:rsidTr="00ED61AD">
        <w:tc>
          <w:tcPr>
            <w:tcW w:w="289" w:type="pct"/>
            <w:vAlign w:val="center"/>
          </w:tcPr>
          <w:p w14:paraId="16FAF3FC" w14:textId="77777777" w:rsidR="00ED61AD" w:rsidRPr="005D61AB" w:rsidRDefault="00ED61AD" w:rsidP="001C7E47">
            <w:pPr>
              <w:jc w:val="both"/>
              <w:rPr>
                <w:sz w:val="20"/>
                <w:szCs w:val="20"/>
              </w:rPr>
            </w:pPr>
            <w:r w:rsidRPr="005D61AB">
              <w:rPr>
                <w:sz w:val="20"/>
                <w:szCs w:val="20"/>
              </w:rPr>
              <w:t>4</w:t>
            </w:r>
          </w:p>
        </w:tc>
        <w:tc>
          <w:tcPr>
            <w:tcW w:w="1032" w:type="pct"/>
            <w:vAlign w:val="center"/>
          </w:tcPr>
          <w:p w14:paraId="346EC6B7" w14:textId="77777777" w:rsidR="00ED61AD" w:rsidRPr="005D61AB" w:rsidRDefault="00ED61AD" w:rsidP="001C7E47">
            <w:pPr>
              <w:jc w:val="center"/>
              <w:rPr>
                <w:sz w:val="20"/>
                <w:szCs w:val="20"/>
              </w:rPr>
            </w:pPr>
            <w:r w:rsidRPr="005D61AB">
              <w:rPr>
                <w:sz w:val="20"/>
                <w:szCs w:val="20"/>
              </w:rPr>
              <w:t>ABR</w:t>
            </w:r>
          </w:p>
        </w:tc>
        <w:tc>
          <w:tcPr>
            <w:tcW w:w="2811" w:type="pct"/>
          </w:tcPr>
          <w:p w14:paraId="18CA2EDA" w14:textId="57DF86F7" w:rsidR="00ED61AD" w:rsidRPr="005D61AB" w:rsidRDefault="00ED61AD" w:rsidP="001C7E47">
            <w:pPr>
              <w:jc w:val="both"/>
              <w:rPr>
                <w:sz w:val="20"/>
                <w:szCs w:val="20"/>
              </w:rPr>
            </w:pPr>
            <w:r w:rsidRPr="005D61AB">
              <w:rPr>
                <w:sz w:val="20"/>
                <w:szCs w:val="20"/>
              </w:rPr>
              <w:t>465 señales ABR (232 pareadas) filtradas con pasa altos a 30kHz y pasa</w:t>
            </w:r>
            <w:r w:rsidR="00000BF4">
              <w:rPr>
                <w:sz w:val="20"/>
                <w:szCs w:val="20"/>
              </w:rPr>
              <w:t xml:space="preserve"> </w:t>
            </w:r>
            <w:r w:rsidRPr="005D61AB">
              <w:rPr>
                <w:sz w:val="20"/>
                <w:szCs w:val="20"/>
              </w:rPr>
              <w:t>bajos a 3kHz.</w:t>
            </w:r>
            <w:r>
              <w:rPr>
                <w:sz w:val="20"/>
                <w:szCs w:val="20"/>
              </w:rPr>
              <w:t xml:space="preserve"> </w:t>
            </w:r>
            <w:r w:rsidRPr="005D61AB">
              <w:rPr>
                <w:sz w:val="20"/>
                <w:szCs w:val="20"/>
              </w:rPr>
              <w:t>Obtenidas de 8 personas</w:t>
            </w:r>
            <w:r w:rsidR="00000BF4">
              <w:rPr>
                <w:sz w:val="20"/>
                <w:szCs w:val="20"/>
              </w:rPr>
              <w:t xml:space="preserve"> con audición normal,</w:t>
            </w:r>
            <w:r w:rsidRPr="005D61AB">
              <w:rPr>
                <w:sz w:val="20"/>
                <w:szCs w:val="20"/>
              </w:rPr>
              <w:t xml:space="preserve"> </w:t>
            </w:r>
            <w:r w:rsidR="00000BF4">
              <w:rPr>
                <w:sz w:val="20"/>
                <w:szCs w:val="20"/>
              </w:rPr>
              <w:t>usando</w:t>
            </w:r>
            <w:r w:rsidRPr="005D61AB">
              <w:rPr>
                <w:sz w:val="20"/>
                <w:szCs w:val="20"/>
              </w:rPr>
              <w:t xml:space="preserve"> SPL de 5 a 100. Frecuencia 1 o 4 kH</w:t>
            </w:r>
            <w:r w:rsidR="00000BF4">
              <w:rPr>
                <w:sz w:val="20"/>
                <w:szCs w:val="20"/>
              </w:rPr>
              <w:t>z</w:t>
            </w:r>
          </w:p>
        </w:tc>
        <w:tc>
          <w:tcPr>
            <w:tcW w:w="868" w:type="pct"/>
          </w:tcPr>
          <w:p w14:paraId="1F7428E7" w14:textId="01016B2C" w:rsidR="00ED61AD" w:rsidRPr="005D61AB" w:rsidRDefault="00ED61AD" w:rsidP="001C7E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Repositorio público</w:t>
            </w:r>
          </w:p>
        </w:tc>
      </w:tr>
      <w:tr w:rsidR="00ED61AD" w:rsidRPr="005D61AB" w14:paraId="78483505" w14:textId="77777777" w:rsidTr="00ED61AD">
        <w:tc>
          <w:tcPr>
            <w:tcW w:w="289" w:type="pct"/>
            <w:vAlign w:val="center"/>
          </w:tcPr>
          <w:p w14:paraId="37D899B5" w14:textId="77777777" w:rsidR="00ED61AD" w:rsidRPr="005D61AB" w:rsidRDefault="00ED61AD" w:rsidP="001C7E47">
            <w:pPr>
              <w:jc w:val="both"/>
              <w:rPr>
                <w:sz w:val="20"/>
                <w:szCs w:val="20"/>
              </w:rPr>
            </w:pPr>
            <w:r w:rsidRPr="005D61AB">
              <w:rPr>
                <w:sz w:val="20"/>
                <w:szCs w:val="20"/>
              </w:rPr>
              <w:t>5</w:t>
            </w:r>
          </w:p>
        </w:tc>
        <w:tc>
          <w:tcPr>
            <w:tcW w:w="1032" w:type="pct"/>
            <w:vAlign w:val="center"/>
          </w:tcPr>
          <w:p w14:paraId="0B8D88C1" w14:textId="77777777" w:rsidR="00ED61AD" w:rsidRPr="005D61AB" w:rsidRDefault="00ED61AD" w:rsidP="001C7E47">
            <w:pPr>
              <w:jc w:val="center"/>
              <w:rPr>
                <w:sz w:val="20"/>
                <w:szCs w:val="20"/>
              </w:rPr>
            </w:pPr>
            <w:proofErr w:type="spellStart"/>
            <w:r w:rsidRPr="005D61AB">
              <w:rPr>
                <w:sz w:val="20"/>
                <w:szCs w:val="20"/>
              </w:rPr>
              <w:t>Benchmark</w:t>
            </w:r>
            <w:proofErr w:type="spellEnd"/>
            <w:r w:rsidRPr="005D61AB">
              <w:rPr>
                <w:sz w:val="20"/>
                <w:szCs w:val="20"/>
              </w:rPr>
              <w:t xml:space="preserve"> </w:t>
            </w:r>
            <w:proofErr w:type="spellStart"/>
            <w:r w:rsidRPr="005D61AB">
              <w:rPr>
                <w:sz w:val="20"/>
                <w:szCs w:val="20"/>
              </w:rPr>
              <w:t>datasets</w:t>
            </w:r>
            <w:proofErr w:type="spellEnd"/>
          </w:p>
        </w:tc>
        <w:tc>
          <w:tcPr>
            <w:tcW w:w="2811" w:type="pct"/>
          </w:tcPr>
          <w:p w14:paraId="4FC3F8FA" w14:textId="048BBD95" w:rsidR="00ED61AD" w:rsidRPr="005D61AB" w:rsidRDefault="00ED61AD" w:rsidP="001C7E47">
            <w:pPr>
              <w:jc w:val="both"/>
              <w:rPr>
                <w:sz w:val="20"/>
                <w:szCs w:val="20"/>
              </w:rPr>
            </w:pPr>
            <w:r w:rsidRPr="005D61AB">
              <w:rPr>
                <w:sz w:val="20"/>
                <w:szCs w:val="20"/>
              </w:rPr>
              <w:t xml:space="preserve">15 </w:t>
            </w:r>
            <w:proofErr w:type="spellStart"/>
            <w:r w:rsidRPr="005D61AB">
              <w:rPr>
                <w:sz w:val="20"/>
                <w:szCs w:val="20"/>
              </w:rPr>
              <w:t>datasets</w:t>
            </w:r>
            <w:proofErr w:type="spellEnd"/>
            <w:r w:rsidRPr="005D61AB">
              <w:rPr>
                <w:sz w:val="20"/>
                <w:szCs w:val="20"/>
              </w:rPr>
              <w:t xml:space="preserve"> biomédicos de uso común para prueba de algoritmos de clasificación</w:t>
            </w:r>
            <w:r>
              <w:rPr>
                <w:sz w:val="20"/>
                <w:szCs w:val="20"/>
              </w:rPr>
              <w:t xml:space="preserve"> (ver tabla 2)</w:t>
            </w:r>
            <w:r w:rsidRPr="005D61AB">
              <w:rPr>
                <w:sz w:val="20"/>
                <w:szCs w:val="20"/>
              </w:rPr>
              <w:t xml:space="preserve">. Los </w:t>
            </w:r>
            <w:proofErr w:type="spellStart"/>
            <w:r w:rsidRPr="005D61AB">
              <w:rPr>
                <w:sz w:val="20"/>
                <w:szCs w:val="20"/>
              </w:rPr>
              <w:t>datasets</w:t>
            </w:r>
            <w:proofErr w:type="spellEnd"/>
            <w:r w:rsidRPr="005D61AB">
              <w:rPr>
                <w:sz w:val="20"/>
                <w:szCs w:val="20"/>
              </w:rPr>
              <w:t xml:space="preserve"> están en formato LIBSVM</w:t>
            </w:r>
            <w:r>
              <w:rPr>
                <w:sz w:val="20"/>
                <w:szCs w:val="20"/>
              </w:rPr>
              <w:t xml:space="preserve">.  </w:t>
            </w:r>
          </w:p>
        </w:tc>
        <w:tc>
          <w:tcPr>
            <w:tcW w:w="868" w:type="pct"/>
          </w:tcPr>
          <w:p w14:paraId="2C3376BF" w14:textId="77777777" w:rsidR="00ED61AD" w:rsidRPr="005D61AB" w:rsidRDefault="00ED61AD" w:rsidP="001C7E47">
            <w:pPr>
              <w:jc w:val="both"/>
              <w:rPr>
                <w:sz w:val="20"/>
                <w:szCs w:val="20"/>
                <w:lang w:val="en-US"/>
              </w:rPr>
            </w:pPr>
            <w:r w:rsidRPr="005D61AB">
              <w:rPr>
                <w:sz w:val="20"/>
                <w:szCs w:val="20"/>
                <w:lang w:val="en-US"/>
              </w:rPr>
              <w:t xml:space="preserve">UCI Machine Learning Repository </w:t>
            </w:r>
          </w:p>
          <w:p w14:paraId="4D5F54C1" w14:textId="77777777" w:rsidR="00ED61AD" w:rsidRPr="005D61AB" w:rsidRDefault="00ED61AD" w:rsidP="001C7E47">
            <w:pPr>
              <w:jc w:val="both"/>
              <w:rPr>
                <w:sz w:val="20"/>
                <w:szCs w:val="20"/>
                <w:lang w:val="en-US"/>
              </w:rPr>
            </w:pPr>
            <w:r w:rsidRPr="005D61AB">
              <w:rPr>
                <w:sz w:val="20"/>
                <w:szCs w:val="20"/>
                <w:lang w:val="en-US"/>
              </w:rPr>
              <w:t xml:space="preserve">Learning Repository </w:t>
            </w:r>
            <w:sdt>
              <w:sdtPr>
                <w:rPr>
                  <w:sz w:val="20"/>
                  <w:szCs w:val="20"/>
                </w:rPr>
                <w:id w:val="517673604"/>
                <w:citation/>
              </w:sdtPr>
              <w:sdtContent>
                <w:r w:rsidRPr="005D61AB">
                  <w:rPr>
                    <w:sz w:val="20"/>
                    <w:szCs w:val="20"/>
                  </w:rPr>
                  <w:fldChar w:fldCharType="begin"/>
                </w:r>
                <w:r w:rsidRPr="005D61AB">
                  <w:rPr>
                    <w:sz w:val="20"/>
                    <w:szCs w:val="20"/>
                    <w:lang w:val="en-US"/>
                  </w:rPr>
                  <w:instrText xml:space="preserve">CITATION Dua19 \l 2058 </w:instrText>
                </w:r>
                <w:r w:rsidRPr="005D61AB">
                  <w:rPr>
                    <w:sz w:val="20"/>
                    <w:szCs w:val="20"/>
                  </w:rPr>
                  <w:fldChar w:fldCharType="separate"/>
                </w:r>
                <w:r w:rsidRPr="005D61AB">
                  <w:rPr>
                    <w:noProof/>
                    <w:sz w:val="20"/>
                    <w:szCs w:val="20"/>
                    <w:lang w:val="en-US"/>
                  </w:rPr>
                  <w:t>[1]</w:t>
                </w:r>
                <w:r w:rsidRPr="005D61AB">
                  <w:rPr>
                    <w:sz w:val="20"/>
                    <w:szCs w:val="20"/>
                  </w:rPr>
                  <w:fldChar w:fldCharType="end"/>
                </w:r>
              </w:sdtContent>
            </w:sdt>
            <w:r w:rsidRPr="005D61AB">
              <w:rPr>
                <w:sz w:val="20"/>
                <w:szCs w:val="20"/>
                <w:lang w:val="en-US"/>
              </w:rPr>
              <w:t>.</w:t>
            </w:r>
          </w:p>
        </w:tc>
      </w:tr>
    </w:tbl>
    <w:p w14:paraId="0695A576" w14:textId="77777777" w:rsidR="00ED61AD" w:rsidRDefault="00ED61AD" w:rsidP="00ED61AD">
      <w:pPr>
        <w:tabs>
          <w:tab w:val="left" w:pos="1980"/>
        </w:tabs>
        <w:jc w:val="both"/>
        <w:rPr>
          <w:lang w:val="es-MX"/>
        </w:rPr>
      </w:pPr>
    </w:p>
    <w:p w14:paraId="714AD8FA" w14:textId="11BBBC3D" w:rsidR="00ED61AD" w:rsidRDefault="00ED61AD" w:rsidP="00ED61AD">
      <w:pPr>
        <w:tabs>
          <w:tab w:val="left" w:pos="1980"/>
        </w:tabs>
        <w:jc w:val="both"/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</w:t>
      </w:r>
      <w:proofErr w:type="spellStart"/>
      <w:r w:rsidRPr="006C3A13">
        <w:rPr>
          <w:i/>
          <w:iCs/>
          <w:lang w:val="es-MX"/>
        </w:rPr>
        <w:t>Pie_infrarrojo</w:t>
      </w:r>
      <w:proofErr w:type="spellEnd"/>
      <w:r>
        <w:rPr>
          <w:lang w:val="es-MX"/>
        </w:rPr>
        <w:t xml:space="preserve"> consta de 200 imágenes </w:t>
      </w:r>
      <w:r w:rsidR="004A5419">
        <w:rPr>
          <w:lang w:val="es-MX"/>
        </w:rPr>
        <w:t>obtenidas de 24 personas con diabetes y 21 personas sin diabetes. Las imágenes se obtuvieron con ayuda de médicos del Instituto Mexicano del Seguro Social (IMMS T1, León, Guanajuato). La Figura 2 muestra ejemplos de estas imágenes.</w:t>
      </w:r>
    </w:p>
    <w:p w14:paraId="5F72D732" w14:textId="77777777" w:rsidR="00ED61AD" w:rsidRDefault="00ED61AD" w:rsidP="00ED61AD">
      <w:pPr>
        <w:tabs>
          <w:tab w:val="left" w:pos="1980"/>
        </w:tabs>
        <w:jc w:val="both"/>
        <w:rPr>
          <w:lang w:val="es-MX"/>
        </w:rPr>
      </w:pPr>
    </w:p>
    <w:p w14:paraId="78E944A0" w14:textId="77777777" w:rsidR="004A5419" w:rsidRDefault="004A5419" w:rsidP="00ED61AD">
      <w:pPr>
        <w:tabs>
          <w:tab w:val="left" w:pos="1980"/>
        </w:tabs>
        <w:jc w:val="both"/>
        <w:rPr>
          <w:lang w:val="es-MX"/>
        </w:rPr>
      </w:pPr>
    </w:p>
    <w:p w14:paraId="58578EBE" w14:textId="77777777" w:rsidR="004A5419" w:rsidRDefault="004A5419" w:rsidP="00ED61AD">
      <w:pPr>
        <w:tabs>
          <w:tab w:val="left" w:pos="1980"/>
        </w:tabs>
        <w:jc w:val="both"/>
        <w:rPr>
          <w:lang w:val="es-MX"/>
        </w:rPr>
      </w:pPr>
    </w:p>
    <w:p w14:paraId="0F8C4577" w14:textId="77777777" w:rsidR="004A5419" w:rsidRDefault="004A5419" w:rsidP="00ED61AD">
      <w:pPr>
        <w:tabs>
          <w:tab w:val="left" w:pos="1980"/>
        </w:tabs>
        <w:jc w:val="both"/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6"/>
        <w:gridCol w:w="4715"/>
      </w:tblGrid>
      <w:tr w:rsidR="004A5419" w14:paraId="27AE3F06" w14:textId="77777777" w:rsidTr="00C85377">
        <w:tc>
          <w:tcPr>
            <w:tcW w:w="5061" w:type="dxa"/>
          </w:tcPr>
          <w:p w14:paraId="7AEF9F64" w14:textId="3DD9D0FF" w:rsidR="004A5419" w:rsidRDefault="004A5419" w:rsidP="00ED61AD">
            <w:pPr>
              <w:tabs>
                <w:tab w:val="left" w:pos="1980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68339D8D" wp14:editId="1F301F0A">
                  <wp:extent cx="3244850" cy="2433638"/>
                  <wp:effectExtent l="0" t="0" r="0" b="5080"/>
                  <wp:docPr id="3" name="Imagen 3" descr="Imagen que contiene interior, person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pf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695" cy="244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0" w:type="dxa"/>
          </w:tcPr>
          <w:p w14:paraId="55C2A7DA" w14:textId="2C4EA56A" w:rsidR="004A5419" w:rsidRDefault="004A5419" w:rsidP="00ED61AD">
            <w:pPr>
              <w:tabs>
                <w:tab w:val="left" w:pos="1980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602C9F09" wp14:editId="14A52AA6">
                  <wp:extent cx="3004819" cy="2433320"/>
                  <wp:effectExtent l="0" t="0" r="5715" b="5080"/>
                  <wp:docPr id="4" name="Imagen 4" descr="Imagen que contiene interior, Radiografía, ropa, blan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jpf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990" cy="244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3BF" w14:paraId="0F25F2A1" w14:textId="77777777" w:rsidTr="00C85377">
        <w:tc>
          <w:tcPr>
            <w:tcW w:w="9771" w:type="dxa"/>
            <w:gridSpan w:val="2"/>
          </w:tcPr>
          <w:p w14:paraId="168BE03B" w14:textId="5EC764CF" w:rsidR="002023BF" w:rsidRDefault="00C85377" w:rsidP="00397FB8">
            <w:pPr>
              <w:tabs>
                <w:tab w:val="left" w:pos="1980"/>
              </w:tabs>
              <w:jc w:val="center"/>
            </w:pPr>
            <w:r>
              <w:t>Figura 2. Izquierda: ejemplo de pies de una persona sin diabetes. Derecha: ejemplo de pies de una persona con diabetes.</w:t>
            </w:r>
          </w:p>
        </w:tc>
      </w:tr>
    </w:tbl>
    <w:p w14:paraId="401D3CEA" w14:textId="2E056DAE" w:rsidR="004A5419" w:rsidRDefault="004A5419" w:rsidP="00ED61AD">
      <w:pPr>
        <w:tabs>
          <w:tab w:val="left" w:pos="1980"/>
        </w:tabs>
        <w:jc w:val="both"/>
        <w:rPr>
          <w:lang w:val="es-MX"/>
        </w:rPr>
      </w:pPr>
    </w:p>
    <w:p w14:paraId="53B6740D" w14:textId="0B832765" w:rsidR="00ED61AD" w:rsidRDefault="00ED61AD" w:rsidP="00ED61AD">
      <w:pPr>
        <w:tabs>
          <w:tab w:val="left" w:pos="1980"/>
        </w:tabs>
        <w:jc w:val="both"/>
        <w:rPr>
          <w:lang w:val="es-MX"/>
        </w:rPr>
      </w:pPr>
      <w:r>
        <w:rPr>
          <w:lang w:val="es-MX"/>
        </w:rPr>
        <w:t xml:space="preserve">El banco de imágenes </w:t>
      </w:r>
      <w:proofErr w:type="spellStart"/>
      <w:r w:rsidRPr="006C3A13">
        <w:rPr>
          <w:i/>
          <w:iCs/>
          <w:lang w:val="es-MX"/>
        </w:rPr>
        <w:t>Segmentación_celular</w:t>
      </w:r>
      <w:proofErr w:type="spellEnd"/>
      <w:r>
        <w:rPr>
          <w:lang w:val="es-MX"/>
        </w:rPr>
        <w:t xml:space="preserve"> consta de 3 </w:t>
      </w:r>
      <w:proofErr w:type="spellStart"/>
      <w:r>
        <w:rPr>
          <w:lang w:val="es-MX"/>
        </w:rPr>
        <w:t>datasets</w:t>
      </w:r>
      <w:proofErr w:type="spellEnd"/>
      <w:r>
        <w:rPr>
          <w:lang w:val="es-MX"/>
        </w:rPr>
        <w:t>. Dos de ellos, etiquetados como A) y B)</w:t>
      </w:r>
      <w:r w:rsidR="00C85377">
        <w:rPr>
          <w:lang w:val="es-MX"/>
        </w:rPr>
        <w:t xml:space="preserve"> fueron obtenidos de un repositorio público creado por investigadores que utilizan técnicas de inteligencia computacional para conteo de células blancas. El </w:t>
      </w:r>
      <w:proofErr w:type="spellStart"/>
      <w:r w:rsidR="00C85377">
        <w:rPr>
          <w:lang w:val="es-MX"/>
        </w:rPr>
        <w:t>dataset</w:t>
      </w:r>
      <w:proofErr w:type="spellEnd"/>
      <w:r w:rsidR="00C85377">
        <w:rPr>
          <w:lang w:val="es-MX"/>
        </w:rPr>
        <w:t xml:space="preserve"> restante “C” fue generado por investigadores y alumnos asociados al proyecto</w:t>
      </w:r>
      <w:r w:rsidR="00E23380">
        <w:rPr>
          <w:lang w:val="es-MX"/>
        </w:rPr>
        <w:t xml:space="preserve"> mediante microscopía</w:t>
      </w:r>
      <w:r w:rsidR="00C85377">
        <w:rPr>
          <w:lang w:val="es-MX"/>
        </w:rPr>
        <w:t xml:space="preserve"> a partir de aspirados de muestras de médula ósea proporcionados por el Hospital General de León</w:t>
      </w:r>
      <w:r w:rsidR="00E7484B">
        <w:rPr>
          <w:lang w:val="es-MX"/>
        </w:rPr>
        <w:t>, Guanajuato</w:t>
      </w:r>
      <w:r w:rsidR="00C85377">
        <w:rPr>
          <w:lang w:val="es-MX"/>
        </w:rPr>
        <w:t xml:space="preserve">. La Figura 3 muestra ejemplos de las imágenes del </w:t>
      </w:r>
      <w:proofErr w:type="spellStart"/>
      <w:r w:rsidR="00C85377">
        <w:rPr>
          <w:lang w:val="es-MX"/>
        </w:rPr>
        <w:t>dataset</w:t>
      </w:r>
      <w:proofErr w:type="spellEnd"/>
      <w:r w:rsidR="00C85377">
        <w:rPr>
          <w:lang w:val="es-MX"/>
        </w:rPr>
        <w:t xml:space="preserve"> C).</w:t>
      </w:r>
    </w:p>
    <w:p w14:paraId="12B572D2" w14:textId="77777777" w:rsidR="00397FB8" w:rsidRDefault="00397FB8" w:rsidP="00ED61AD">
      <w:pPr>
        <w:tabs>
          <w:tab w:val="left" w:pos="1980"/>
        </w:tabs>
        <w:jc w:val="both"/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1"/>
        <w:gridCol w:w="4710"/>
      </w:tblGrid>
      <w:tr w:rsidR="00397FB8" w14:paraId="439FE5DD" w14:textId="77777777" w:rsidTr="00397FB8">
        <w:tc>
          <w:tcPr>
            <w:tcW w:w="5061" w:type="dxa"/>
          </w:tcPr>
          <w:p w14:paraId="5F9100C1" w14:textId="68B29B5E" w:rsidR="00397FB8" w:rsidRDefault="00397FB8" w:rsidP="00397FB8">
            <w:pPr>
              <w:tabs>
                <w:tab w:val="left" w:pos="198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6FF467B" wp14:editId="2A3FB4A7">
                  <wp:extent cx="2438400" cy="24384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infocitos_45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0" w:type="dxa"/>
          </w:tcPr>
          <w:p w14:paraId="58D6CDBE" w14:textId="26EFF779" w:rsidR="00397FB8" w:rsidRDefault="00397FB8" w:rsidP="00397FB8">
            <w:pPr>
              <w:tabs>
                <w:tab w:val="left" w:pos="198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EF59D52" wp14:editId="155C95CA">
                  <wp:extent cx="2438400" cy="2438400"/>
                  <wp:effectExtent l="0" t="0" r="0" b="0"/>
                  <wp:docPr id="9" name="Imagen 9" descr="Imagen que contiene animal, invertebrado, plato, interi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asofilos_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FB8" w14:paraId="4C224E74" w14:textId="77777777" w:rsidTr="00397FB8">
        <w:tc>
          <w:tcPr>
            <w:tcW w:w="9771" w:type="dxa"/>
            <w:gridSpan w:val="2"/>
          </w:tcPr>
          <w:p w14:paraId="68422214" w14:textId="1E118032" w:rsidR="00397FB8" w:rsidRDefault="00397FB8" w:rsidP="00397FB8">
            <w:pPr>
              <w:tabs>
                <w:tab w:val="left" w:pos="1980"/>
              </w:tabs>
              <w:jc w:val="center"/>
            </w:pPr>
            <w:r>
              <w:t xml:space="preserve">Figura </w:t>
            </w:r>
            <w:r>
              <w:t>3</w:t>
            </w:r>
            <w:r>
              <w:t xml:space="preserve">. Izquierda: </w:t>
            </w:r>
            <w:r>
              <w:t>ejemplo de célula blanca (Linfocito)</w:t>
            </w:r>
            <w:r>
              <w:t xml:space="preserve">. Derecha: ejemplo de </w:t>
            </w:r>
            <w:r>
              <w:t>célula blanca (Basófilo)</w:t>
            </w:r>
          </w:p>
        </w:tc>
      </w:tr>
    </w:tbl>
    <w:p w14:paraId="7B314D88" w14:textId="77777777" w:rsidR="00397FB8" w:rsidRDefault="00397FB8" w:rsidP="00ED61AD">
      <w:pPr>
        <w:tabs>
          <w:tab w:val="left" w:pos="1980"/>
        </w:tabs>
        <w:jc w:val="both"/>
        <w:rPr>
          <w:lang w:val="es-MX"/>
        </w:rPr>
      </w:pPr>
    </w:p>
    <w:p w14:paraId="2C5D52F3" w14:textId="13440FC5" w:rsidR="00C85377" w:rsidRDefault="00C85377" w:rsidP="00ED61AD">
      <w:pPr>
        <w:tabs>
          <w:tab w:val="left" w:pos="1980"/>
        </w:tabs>
        <w:jc w:val="both"/>
        <w:rPr>
          <w:lang w:val="es-MX"/>
        </w:rPr>
      </w:pPr>
    </w:p>
    <w:p w14:paraId="351DA3BA" w14:textId="7998744D" w:rsidR="00C85377" w:rsidRPr="006C3A13" w:rsidRDefault="00C85377" w:rsidP="00ED61AD">
      <w:pPr>
        <w:tabs>
          <w:tab w:val="left" w:pos="1980"/>
        </w:tabs>
        <w:jc w:val="both"/>
        <w:rPr>
          <w:lang w:val="es-MX"/>
        </w:rPr>
      </w:pPr>
    </w:p>
    <w:p w14:paraId="0526E90C" w14:textId="198EFD3A" w:rsidR="008B6A66" w:rsidRDefault="008B6A66" w:rsidP="008B6A66">
      <w:pPr>
        <w:jc w:val="both"/>
        <w:rPr>
          <w:lang w:val="es-MX"/>
        </w:rPr>
      </w:pPr>
    </w:p>
    <w:p w14:paraId="5E23F678" w14:textId="39446170" w:rsidR="008B6A66" w:rsidRDefault="008B6A66" w:rsidP="008B6A66">
      <w:pPr>
        <w:jc w:val="both"/>
        <w:rPr>
          <w:lang w:val="es-MX"/>
        </w:rPr>
      </w:pPr>
    </w:p>
    <w:p w14:paraId="0C16407D" w14:textId="77777777" w:rsidR="008B6A66" w:rsidRDefault="008B6A66" w:rsidP="008B6A66">
      <w:pPr>
        <w:jc w:val="both"/>
        <w:rPr>
          <w:lang w:val="es-MX"/>
        </w:rPr>
      </w:pPr>
    </w:p>
    <w:p w14:paraId="65838372" w14:textId="77777777" w:rsidR="008B6A66" w:rsidRDefault="008B6A66" w:rsidP="009D3B65">
      <w:pPr>
        <w:keepNext/>
        <w:jc w:val="center"/>
      </w:pPr>
      <w:r>
        <w:rPr>
          <w:noProof/>
          <w:lang w:val="es-MX"/>
        </w:rPr>
        <w:drawing>
          <wp:inline distT="0" distB="0" distL="0" distR="0" wp14:anchorId="5EFF65CC" wp14:editId="70E8E02A">
            <wp:extent cx="5332351" cy="3999565"/>
            <wp:effectExtent l="0" t="0" r="190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1_evoked_ave15_F1_R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091" cy="401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A2A8" w14:textId="62F8C278" w:rsidR="008B6A66" w:rsidRDefault="008B6A66" w:rsidP="00E23380">
      <w:pPr>
        <w:tabs>
          <w:tab w:val="left" w:pos="1980"/>
        </w:tabs>
        <w:jc w:val="center"/>
      </w:pPr>
      <w:r w:rsidRPr="00E23380">
        <w:rPr>
          <w:sz w:val="22"/>
          <w:szCs w:val="22"/>
          <w:lang w:val="es-MX"/>
        </w:rPr>
        <w:t xml:space="preserve">Figura </w:t>
      </w:r>
      <w:r w:rsidR="00E23380">
        <w:rPr>
          <w:sz w:val="22"/>
          <w:szCs w:val="22"/>
          <w:lang w:val="es-MX"/>
        </w:rPr>
        <w:t>4</w:t>
      </w:r>
      <w:r w:rsidRPr="00E23380">
        <w:rPr>
          <w:sz w:val="22"/>
          <w:szCs w:val="22"/>
          <w:lang w:val="es-MX"/>
        </w:rPr>
        <w:t>. Ejemplo de señal ABR pareada. Las gráficas fueron generadas a partir de los datos en archivos binarios con scripts del lenguaje de programación Python.</w:t>
      </w:r>
    </w:p>
    <w:p w14:paraId="41EC6BE3" w14:textId="25F3B656" w:rsidR="00E23380" w:rsidRDefault="00E23380" w:rsidP="00E23380">
      <w:pPr>
        <w:tabs>
          <w:tab w:val="left" w:pos="1980"/>
        </w:tabs>
      </w:pPr>
    </w:p>
    <w:p w14:paraId="410DD249" w14:textId="548F9FBA" w:rsidR="00E23380" w:rsidRPr="0051202A" w:rsidRDefault="00E23380" w:rsidP="0051202A">
      <w:pPr>
        <w:tabs>
          <w:tab w:val="left" w:pos="1980"/>
        </w:tabs>
        <w:jc w:val="both"/>
        <w:rPr>
          <w:i/>
          <w:iCs/>
          <w:sz w:val="22"/>
          <w:szCs w:val="22"/>
          <w:lang w:val="es-MX"/>
        </w:rPr>
      </w:pPr>
      <w:r w:rsidRPr="00E23380">
        <w:rPr>
          <w:lang w:val="es-MX"/>
        </w:rPr>
        <w:t xml:space="preserve">El </w:t>
      </w:r>
      <w:proofErr w:type="spellStart"/>
      <w:r w:rsidRPr="00E23380">
        <w:rPr>
          <w:lang w:val="es-MX"/>
        </w:rPr>
        <w:t>dataset</w:t>
      </w:r>
      <w:proofErr w:type="spellEnd"/>
      <w:r w:rsidRPr="00E23380">
        <w:rPr>
          <w:lang w:val="es-MX"/>
        </w:rPr>
        <w:t xml:space="preserve"> </w:t>
      </w:r>
      <w:r w:rsidRPr="0051202A">
        <w:rPr>
          <w:i/>
          <w:iCs/>
          <w:lang w:val="es-MX"/>
        </w:rPr>
        <w:t>ABR</w:t>
      </w:r>
      <w:r w:rsidRPr="00E23380">
        <w:rPr>
          <w:lang w:val="es-MX"/>
        </w:rPr>
        <w:t xml:space="preserve"> cont</w:t>
      </w:r>
      <w:r>
        <w:rPr>
          <w:lang w:val="es-MX"/>
        </w:rPr>
        <w:t>iene 465 señales procesadas a partir archivos binarios. Estas señales representan la Respuesta Auditiva del Tallo Cerebral (</w:t>
      </w:r>
      <w:proofErr w:type="spellStart"/>
      <w:r>
        <w:rPr>
          <w:lang w:val="es-MX"/>
        </w:rPr>
        <w:t>Auditory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Brainste</w:t>
      </w:r>
      <w:r w:rsidR="0051202A">
        <w:rPr>
          <w:lang w:val="es-MX"/>
        </w:rPr>
        <w:t>a</w:t>
      </w:r>
      <w:r>
        <w:rPr>
          <w:lang w:val="es-MX"/>
        </w:rPr>
        <w:t>m</w:t>
      </w:r>
      <w:proofErr w:type="spellEnd"/>
      <w:r w:rsidR="0051202A">
        <w:rPr>
          <w:lang w:val="es-MX"/>
        </w:rPr>
        <w:t xml:space="preserve"> Responses) de 8 personas con audición normal. El objetivo es determinar la presencia o ausencia de las ondas características de una señal ABR. </w:t>
      </w:r>
    </w:p>
    <w:p w14:paraId="6E417649" w14:textId="24EF8268" w:rsidR="005C26EC" w:rsidRDefault="005C26EC" w:rsidP="005C26EC">
      <w:pPr>
        <w:rPr>
          <w:lang w:val="es-MX"/>
        </w:rPr>
      </w:pPr>
    </w:p>
    <w:p w14:paraId="40B713DD" w14:textId="7BD58072" w:rsidR="000F0AF4" w:rsidRDefault="0051202A" w:rsidP="000F0AF4">
      <w:pPr>
        <w:pStyle w:val="PARA"/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</w:pPr>
      <w:r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 xml:space="preserve">Los 15 </w:t>
      </w:r>
      <w:proofErr w:type="spellStart"/>
      <w:r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datasets</w:t>
      </w:r>
      <w:proofErr w:type="spellEnd"/>
      <w:r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 xml:space="preserve"> </w:t>
      </w:r>
      <w:proofErr w:type="spellStart"/>
      <w:r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benchmark</w:t>
      </w:r>
      <w:proofErr w:type="spellEnd"/>
      <w:r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 xml:space="preserve"> se describen en la </w:t>
      </w:r>
      <w:r w:rsid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T</w:t>
      </w:r>
      <w:r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abla 2</w:t>
      </w:r>
      <w:r w:rsid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 xml:space="preserve">, estos </w:t>
      </w:r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son: predicción de cáncer de pecho (</w:t>
      </w:r>
      <w:proofErr w:type="spellStart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breast</w:t>
      </w:r>
      <w:proofErr w:type="spellEnd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), enfermedad crónica del riñón (</w:t>
      </w:r>
      <w:proofErr w:type="spellStart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chronic</w:t>
      </w:r>
      <w:proofErr w:type="spellEnd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), normalidad ortopédica de columna vertebral (column_2C), resultados de tratamiento de verrugas empleando crioterapia (</w:t>
      </w:r>
      <w:proofErr w:type="spellStart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cryotherapy</w:t>
      </w:r>
      <w:proofErr w:type="spellEnd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), diagnóstico de diabetes mellitus tipo 2 (diabetes), identificación de concentración alterada de esperma (</w:t>
      </w:r>
      <w:proofErr w:type="spellStart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fertility</w:t>
      </w:r>
      <w:proofErr w:type="spellEnd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), predicción de sobrevivencia después de cirugía de cáncer de pecho (</w:t>
      </w:r>
      <w:proofErr w:type="spellStart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haberman</w:t>
      </w:r>
      <w:proofErr w:type="spellEnd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), determinación de enfermedades en el corazón (</w:t>
      </w:r>
      <w:proofErr w:type="spellStart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heart</w:t>
      </w:r>
      <w:proofErr w:type="spellEnd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), resultados de tratamiento para verrugas empleando inmunoterapia (</w:t>
      </w:r>
      <w:proofErr w:type="spellStart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immuno</w:t>
      </w:r>
      <w:proofErr w:type="spellEnd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), alteraciones en el hígado causadas por alcohol (</w:t>
      </w:r>
      <w:proofErr w:type="spellStart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liver</w:t>
      </w:r>
      <w:proofErr w:type="spellEnd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), discriminación de masas mamográficas malignas o benignas (</w:t>
      </w:r>
      <w:proofErr w:type="spellStart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mammo</w:t>
      </w:r>
      <w:proofErr w:type="spellEnd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), predicción de Parkinson con base en mediciones de voz (</w:t>
      </w:r>
      <w:proofErr w:type="spellStart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parkinsons</w:t>
      </w:r>
      <w:proofErr w:type="spellEnd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 xml:space="preserve">), esperanza de vida </w:t>
      </w:r>
      <w:proofErr w:type="spellStart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post-cirujía</w:t>
      </w:r>
      <w:proofErr w:type="spellEnd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 xml:space="preserve"> en pacientes de </w:t>
      </w:r>
      <w:proofErr w:type="spellStart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cácer</w:t>
      </w:r>
      <w:proofErr w:type="spellEnd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 xml:space="preserve"> de pulmón después de cirugía torácica (</w:t>
      </w:r>
      <w:proofErr w:type="spellStart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thoracic</w:t>
      </w:r>
      <w:proofErr w:type="spellEnd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), predicción sobre la donación de sangre (</w:t>
      </w:r>
      <w:proofErr w:type="spellStart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transfusion</w:t>
      </w:r>
      <w:proofErr w:type="spellEnd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) y pronóstico sobre cáncer de pecho (</w:t>
      </w:r>
      <w:proofErr w:type="spellStart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wpbc</w:t>
      </w:r>
      <w:proofErr w:type="spellEnd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 xml:space="preserve">). Todos los </w:t>
      </w:r>
      <w:proofErr w:type="spellStart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datasets</w:t>
      </w:r>
      <w:proofErr w:type="spellEnd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 xml:space="preserve"> están públicamente disponibles en el repositorio de la UCI Machine Learning </w:t>
      </w:r>
      <w:proofErr w:type="spellStart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Repository</w:t>
      </w:r>
      <w:proofErr w:type="spellEnd"/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 xml:space="preserve"> (</w:t>
      </w:r>
      <w:hyperlink r:id="rId14" w:history="1">
        <w:r w:rsidR="000F0AF4" w:rsidRPr="008D3DB6">
          <w:rPr>
            <w:rStyle w:val="Hipervnculo"/>
            <w:rFonts w:asciiTheme="minorHAnsi" w:eastAsiaTheme="minorHAnsi" w:hAnsiTheme="minorHAnsi" w:cstheme="minorBidi"/>
            <w:spacing w:val="0"/>
            <w:sz w:val="24"/>
            <w:szCs w:val="24"/>
            <w:lang w:val="es-MX" w:eastAsia="en-US"/>
          </w:rPr>
          <w:t>https://archive.ics.uci.edu/ml/index.php</w:t>
        </w:r>
      </w:hyperlink>
      <w:r w:rsidR="000F0AF4" w:rsidRPr="000F0AF4"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  <w:t>).</w:t>
      </w:r>
    </w:p>
    <w:p w14:paraId="6CD1F8D9" w14:textId="48AD9624" w:rsidR="000F0AF4" w:rsidRDefault="000F0AF4" w:rsidP="000F0AF4">
      <w:pPr>
        <w:pStyle w:val="PARA"/>
        <w:rPr>
          <w:rFonts w:asciiTheme="minorHAnsi" w:eastAsiaTheme="minorHAnsi" w:hAnsiTheme="minorHAnsi" w:cstheme="minorBidi"/>
          <w:spacing w:val="0"/>
          <w:sz w:val="24"/>
          <w:szCs w:val="24"/>
          <w:lang w:val="es-MX" w:eastAsia="en-US"/>
        </w:rPr>
      </w:pPr>
    </w:p>
    <w:p w14:paraId="7FF6BC94" w14:textId="77777777" w:rsidR="009D3B65" w:rsidRDefault="009D3B65" w:rsidP="000F0AF4">
      <w:pPr>
        <w:pStyle w:val="Prrafodelista"/>
        <w:spacing w:after="0" w:line="240" w:lineRule="auto"/>
        <w:jc w:val="center"/>
        <w:rPr>
          <w:rFonts w:eastAsiaTheme="minorHAnsi"/>
          <w:sz w:val="24"/>
          <w:szCs w:val="24"/>
        </w:rPr>
      </w:pPr>
    </w:p>
    <w:p w14:paraId="16830187" w14:textId="77777777" w:rsidR="009D3B65" w:rsidRDefault="009D3B65" w:rsidP="000F0AF4">
      <w:pPr>
        <w:pStyle w:val="Prrafodelista"/>
        <w:spacing w:after="0" w:line="240" w:lineRule="auto"/>
        <w:jc w:val="center"/>
        <w:rPr>
          <w:rFonts w:eastAsiaTheme="minorHAnsi"/>
          <w:sz w:val="24"/>
          <w:szCs w:val="24"/>
        </w:rPr>
      </w:pPr>
    </w:p>
    <w:p w14:paraId="0048795C" w14:textId="77777777" w:rsidR="009D3B65" w:rsidRDefault="009D3B65" w:rsidP="000F0AF4">
      <w:pPr>
        <w:pStyle w:val="Prrafodelista"/>
        <w:spacing w:after="0" w:line="240" w:lineRule="auto"/>
        <w:jc w:val="center"/>
        <w:rPr>
          <w:rFonts w:eastAsiaTheme="minorHAnsi"/>
          <w:sz w:val="24"/>
          <w:szCs w:val="24"/>
        </w:rPr>
      </w:pPr>
    </w:p>
    <w:p w14:paraId="61E2C834" w14:textId="77777777" w:rsidR="009D3B65" w:rsidRDefault="009D3B65" w:rsidP="000F0AF4">
      <w:pPr>
        <w:pStyle w:val="Prrafodelista"/>
        <w:spacing w:after="0" w:line="240" w:lineRule="auto"/>
        <w:jc w:val="center"/>
        <w:rPr>
          <w:rFonts w:eastAsiaTheme="minorHAnsi"/>
          <w:sz w:val="24"/>
          <w:szCs w:val="24"/>
        </w:rPr>
      </w:pPr>
    </w:p>
    <w:p w14:paraId="486950E8" w14:textId="7764677B" w:rsidR="000F0AF4" w:rsidRPr="009D3B65" w:rsidRDefault="000F0AF4" w:rsidP="000F0AF4">
      <w:pPr>
        <w:pStyle w:val="Prrafodelista"/>
        <w:spacing w:after="0" w:line="240" w:lineRule="auto"/>
        <w:jc w:val="center"/>
        <w:rPr>
          <w:rFonts w:eastAsiaTheme="minorHAnsi"/>
          <w:sz w:val="24"/>
          <w:szCs w:val="24"/>
        </w:rPr>
      </w:pPr>
      <w:bookmarkStart w:id="0" w:name="_GoBack"/>
      <w:bookmarkEnd w:id="0"/>
      <w:r w:rsidRPr="009D3B65">
        <w:rPr>
          <w:rFonts w:eastAsiaTheme="minorHAnsi"/>
          <w:sz w:val="24"/>
          <w:szCs w:val="24"/>
        </w:rPr>
        <w:t xml:space="preserve">Tabla </w:t>
      </w:r>
      <w:r w:rsidRPr="009D3B65">
        <w:rPr>
          <w:rFonts w:eastAsiaTheme="minorHAnsi"/>
          <w:sz w:val="24"/>
          <w:szCs w:val="24"/>
        </w:rPr>
        <w:t>2</w:t>
      </w:r>
      <w:r w:rsidRPr="009D3B65">
        <w:rPr>
          <w:rFonts w:eastAsiaTheme="minorHAnsi"/>
          <w:sz w:val="24"/>
          <w:szCs w:val="24"/>
        </w:rPr>
        <w:t>. Listado de los 15 problemas biomédicos de clasificación empleados</w:t>
      </w:r>
    </w:p>
    <w:tbl>
      <w:tblPr>
        <w:tblW w:w="3531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"/>
        <w:gridCol w:w="1402"/>
        <w:gridCol w:w="1707"/>
        <w:gridCol w:w="562"/>
        <w:gridCol w:w="2864"/>
      </w:tblGrid>
      <w:tr w:rsidR="000F0AF4" w:rsidRPr="000F0AF4" w14:paraId="1962620A" w14:textId="77777777" w:rsidTr="001C7E47">
        <w:trPr>
          <w:trHeight w:hRule="exact" w:val="429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0B519CE4" w14:textId="77777777" w:rsidR="000F0AF4" w:rsidRPr="000F0AF4" w:rsidRDefault="000F0AF4" w:rsidP="001C7E47">
            <w:pPr>
              <w:jc w:val="center"/>
              <w:rPr>
                <w:sz w:val="16"/>
                <w:szCs w:val="16"/>
                <w:lang w:val="es-MX" w:eastAsia="es-MX"/>
              </w:rPr>
            </w:pPr>
          </w:p>
        </w:tc>
        <w:tc>
          <w:tcPr>
            <w:tcW w:w="10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FC8AAD" w14:textId="77777777" w:rsidR="000F0AF4" w:rsidRPr="000F0AF4" w:rsidRDefault="000F0AF4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 xml:space="preserve">Dataset </w:t>
            </w:r>
          </w:p>
          <w:p w14:paraId="7761035C" w14:textId="77777777" w:rsidR="000F0AF4" w:rsidRPr="000F0AF4" w:rsidRDefault="000F0AF4" w:rsidP="001C7E47">
            <w:pPr>
              <w:jc w:val="center"/>
              <w:rPr>
                <w:sz w:val="16"/>
                <w:szCs w:val="16"/>
                <w:lang w:eastAsia="es-MX"/>
              </w:rPr>
            </w:pPr>
            <w:proofErr w:type="spellStart"/>
            <w:r w:rsidRPr="000F0AF4">
              <w:rPr>
                <w:sz w:val="16"/>
                <w:szCs w:val="16"/>
                <w:lang w:eastAsia="es-MX"/>
              </w:rPr>
              <w:t>Etiqueta</w:t>
            </w:r>
            <w:proofErr w:type="spellEnd"/>
            <w:r w:rsidRPr="000F0AF4">
              <w:rPr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0F0AF4">
              <w:rPr>
                <w:sz w:val="16"/>
                <w:szCs w:val="16"/>
                <w:lang w:eastAsia="es-MX"/>
              </w:rPr>
              <w:t>corta</w:t>
            </w:r>
            <w:proofErr w:type="spellEnd"/>
          </w:p>
          <w:p w14:paraId="5FCACB91" w14:textId="77777777" w:rsidR="000F0AF4" w:rsidRPr="000F0AF4" w:rsidRDefault="000F0AF4" w:rsidP="001C7E47">
            <w:pPr>
              <w:rPr>
                <w:sz w:val="16"/>
                <w:szCs w:val="16"/>
                <w:vertAlign w:val="superscript"/>
                <w:lang w:eastAsia="es-MX"/>
              </w:rPr>
            </w:pP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F0704B" w14:textId="77777777" w:rsidR="000F0AF4" w:rsidRPr="000F0AF4" w:rsidRDefault="000F0AF4" w:rsidP="001C7E47">
            <w:pPr>
              <w:jc w:val="center"/>
              <w:rPr>
                <w:sz w:val="16"/>
                <w:szCs w:val="16"/>
                <w:lang w:eastAsia="es-MX"/>
              </w:rPr>
            </w:pPr>
            <w:proofErr w:type="spellStart"/>
            <w:r w:rsidRPr="000F0AF4">
              <w:rPr>
                <w:sz w:val="16"/>
                <w:szCs w:val="16"/>
                <w:lang w:eastAsia="es-MX"/>
              </w:rPr>
              <w:t>Casos</w:t>
            </w:r>
            <w:proofErr w:type="spellEnd"/>
            <w:r w:rsidRPr="000F0AF4">
              <w:rPr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0F0AF4">
              <w:rPr>
                <w:sz w:val="16"/>
                <w:szCs w:val="16"/>
                <w:lang w:eastAsia="es-MX"/>
              </w:rPr>
              <w:t>Totales</w:t>
            </w:r>
            <w:proofErr w:type="spellEnd"/>
            <w:r w:rsidRPr="000F0AF4">
              <w:rPr>
                <w:sz w:val="16"/>
                <w:szCs w:val="16"/>
                <w:lang w:eastAsia="es-MX"/>
              </w:rPr>
              <w:t xml:space="preserve"> (</w:t>
            </w:r>
            <w:proofErr w:type="spellStart"/>
            <w:r w:rsidRPr="000F0AF4">
              <w:rPr>
                <w:sz w:val="16"/>
                <w:szCs w:val="16"/>
                <w:lang w:eastAsia="es-MX"/>
              </w:rPr>
              <w:t>positivos</w:t>
            </w:r>
            <w:proofErr w:type="spellEnd"/>
            <w:r w:rsidRPr="000F0AF4">
              <w:rPr>
                <w:sz w:val="16"/>
                <w:szCs w:val="16"/>
                <w:lang w:eastAsia="es-MX"/>
              </w:rPr>
              <w:t xml:space="preserve"> - </w:t>
            </w:r>
            <w:proofErr w:type="spellStart"/>
            <w:r w:rsidRPr="000F0AF4">
              <w:rPr>
                <w:sz w:val="16"/>
                <w:szCs w:val="16"/>
                <w:lang w:eastAsia="es-MX"/>
              </w:rPr>
              <w:t>negativos</w:t>
            </w:r>
            <w:proofErr w:type="spellEnd"/>
            <w:r w:rsidRPr="000F0AF4">
              <w:rPr>
                <w:sz w:val="16"/>
                <w:szCs w:val="16"/>
                <w:lang w:eastAsia="es-MX"/>
              </w:rPr>
              <w:t>)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108EF8" w14:textId="77777777" w:rsidR="000F0AF4" w:rsidRPr="000F0AF4" w:rsidRDefault="000F0AF4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Dim</w:t>
            </w:r>
          </w:p>
        </w:tc>
        <w:tc>
          <w:tcPr>
            <w:tcW w:w="20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496989" w14:textId="77777777" w:rsidR="000F0AF4" w:rsidRPr="000F0AF4" w:rsidRDefault="000F0AF4" w:rsidP="001C7E47">
            <w:pPr>
              <w:jc w:val="center"/>
              <w:rPr>
                <w:sz w:val="16"/>
                <w:szCs w:val="16"/>
                <w:lang w:val="es-MX" w:eastAsia="es-MX"/>
              </w:rPr>
            </w:pPr>
            <w:r w:rsidRPr="000F0AF4">
              <w:rPr>
                <w:sz w:val="16"/>
                <w:szCs w:val="16"/>
                <w:lang w:val="es-MX" w:eastAsia="es-MX"/>
              </w:rPr>
              <w:t xml:space="preserve">Mejor exactitud en clasificación lograda con RBF o </w:t>
            </w:r>
            <w:proofErr w:type="spellStart"/>
            <w:r w:rsidRPr="000F0AF4">
              <w:rPr>
                <w:sz w:val="16"/>
                <w:szCs w:val="16"/>
                <w:lang w:val="es-MX" w:eastAsia="es-MX"/>
              </w:rPr>
              <w:t>kernels</w:t>
            </w:r>
            <w:proofErr w:type="spellEnd"/>
            <w:r w:rsidRPr="000F0AF4">
              <w:rPr>
                <w:sz w:val="16"/>
                <w:szCs w:val="16"/>
                <w:lang w:val="es-MX" w:eastAsia="es-MX"/>
              </w:rPr>
              <w:t xml:space="preserve"> múltiples</w:t>
            </w:r>
          </w:p>
        </w:tc>
      </w:tr>
      <w:tr w:rsidR="000F0AF4" w:rsidRPr="000F0AF4" w14:paraId="3D411801" w14:textId="77777777" w:rsidTr="001C7E47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6E57E81E" w14:textId="77777777" w:rsidR="000F0AF4" w:rsidRPr="000F0AF4" w:rsidRDefault="000F0AF4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70BE39" w14:textId="77777777" w:rsidR="000F0AF4" w:rsidRPr="000F0AF4" w:rsidRDefault="000F0AF4" w:rsidP="001C7E47">
            <w:pPr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breast</w:t>
            </w:r>
          </w:p>
        </w:tc>
        <w:tc>
          <w:tcPr>
            <w:tcW w:w="1236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3E618E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683 (239-444)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315E0D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2073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F1EDEA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98.03</w:t>
            </w: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97.31 | 97.18</w:t>
            </w:r>
          </w:p>
        </w:tc>
      </w:tr>
      <w:tr w:rsidR="000F0AF4" w:rsidRPr="000F0AF4" w14:paraId="3AD7A1FD" w14:textId="77777777" w:rsidTr="001C7E47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0542AAB8" w14:textId="77777777" w:rsidR="000F0AF4" w:rsidRPr="000F0AF4" w:rsidRDefault="000F0AF4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9C0BD7" w14:textId="77777777" w:rsidR="000F0AF4" w:rsidRPr="000F0AF4" w:rsidRDefault="000F0AF4" w:rsidP="001C7E47">
            <w:pPr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chronic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7F1D62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400 (150-250)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97101F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522EBC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99.60</w:t>
            </w:r>
          </w:p>
        </w:tc>
      </w:tr>
      <w:tr w:rsidR="000F0AF4" w:rsidRPr="000F0AF4" w14:paraId="77476B94" w14:textId="77777777" w:rsidTr="001C7E47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D6E3505" w14:textId="77777777" w:rsidR="000F0AF4" w:rsidRPr="000F0AF4" w:rsidRDefault="000F0AF4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F4FBB4" w14:textId="77777777" w:rsidR="000F0AF4" w:rsidRPr="000F0AF4" w:rsidRDefault="000F0AF4" w:rsidP="001C7E47">
            <w:pPr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column_2C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68D7AB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310 (100-210)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26AC90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B6EA4E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87.00 | 86.02</w:t>
            </w:r>
          </w:p>
        </w:tc>
      </w:tr>
      <w:tr w:rsidR="000F0AF4" w:rsidRPr="000F0AF4" w14:paraId="05739CD3" w14:textId="77777777" w:rsidTr="001C7E47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09F70448" w14:textId="77777777" w:rsidR="000F0AF4" w:rsidRPr="000F0AF4" w:rsidRDefault="000F0AF4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6BE6D7" w14:textId="77777777" w:rsidR="000F0AF4" w:rsidRPr="000F0AF4" w:rsidRDefault="000F0AF4" w:rsidP="001C7E47">
            <w:pPr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cryotherapy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83B826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90 (43-47)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3C4ED0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A86692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91.00</w:t>
            </w:r>
          </w:p>
        </w:tc>
      </w:tr>
      <w:tr w:rsidR="000F0AF4" w:rsidRPr="000F0AF4" w14:paraId="3C96FB45" w14:textId="77777777" w:rsidTr="001C7E47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F53FD74" w14:textId="77777777" w:rsidR="000F0AF4" w:rsidRPr="000F0AF4" w:rsidRDefault="000F0AF4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2F2AD4" w14:textId="77777777" w:rsidR="000F0AF4" w:rsidRPr="000F0AF4" w:rsidRDefault="000F0AF4" w:rsidP="001C7E47">
            <w:pPr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diabetes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8AB8C4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768 (268-500)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DF286C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1E7C64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81.25</w:t>
            </w: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77.73 | 76.83 </w:t>
            </w:r>
          </w:p>
        </w:tc>
      </w:tr>
      <w:tr w:rsidR="000F0AF4" w:rsidRPr="000F0AF4" w14:paraId="02D08231" w14:textId="77777777" w:rsidTr="001C7E47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073251F9" w14:textId="77777777" w:rsidR="000F0AF4" w:rsidRPr="000F0AF4" w:rsidRDefault="000F0AF4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6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7F7102" w14:textId="77777777" w:rsidR="000F0AF4" w:rsidRPr="000F0AF4" w:rsidRDefault="000F0AF4" w:rsidP="001C7E47">
            <w:pPr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fertility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1F325E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100 (12-88)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DC156A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2E7879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88.00 | 89.19 | 88.04</w:t>
            </w:r>
          </w:p>
        </w:tc>
      </w:tr>
      <w:tr w:rsidR="000F0AF4" w:rsidRPr="000F0AF4" w14:paraId="3BBB011F" w14:textId="77777777" w:rsidTr="001C7E47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1F492D" w14:textId="77777777" w:rsidR="000F0AF4" w:rsidRPr="000F0AF4" w:rsidRDefault="000F0AF4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7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46FFBF" w14:textId="77777777" w:rsidR="000F0AF4" w:rsidRPr="000F0AF4" w:rsidRDefault="000F0AF4" w:rsidP="001C7E47">
            <w:pPr>
              <w:rPr>
                <w:sz w:val="16"/>
                <w:szCs w:val="16"/>
                <w:lang w:eastAsia="es-MX"/>
              </w:rPr>
            </w:pPr>
            <w:proofErr w:type="spellStart"/>
            <w:r w:rsidRPr="000F0AF4">
              <w:rPr>
                <w:sz w:val="16"/>
                <w:szCs w:val="16"/>
                <w:lang w:eastAsia="es-MX"/>
              </w:rPr>
              <w:t>haberman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CDF5F0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306 (81-225)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60D0D4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382A49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73.55 | 75.77 | 75.91</w:t>
            </w:r>
          </w:p>
        </w:tc>
      </w:tr>
      <w:tr w:rsidR="000F0AF4" w:rsidRPr="000F0AF4" w14:paraId="18C56610" w14:textId="77777777" w:rsidTr="001C7E47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026CA7F" w14:textId="77777777" w:rsidR="000F0AF4" w:rsidRPr="000F0AF4" w:rsidRDefault="000F0AF4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332182" w14:textId="77777777" w:rsidR="000F0AF4" w:rsidRPr="000F0AF4" w:rsidRDefault="000F0AF4" w:rsidP="001C7E47">
            <w:pPr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heart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995AFC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270 (120-150)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443876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36C235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86.98</w:t>
            </w:r>
            <w:r w:rsidRPr="000F0AF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| 83.70 | 84.67</w:t>
            </w:r>
          </w:p>
        </w:tc>
      </w:tr>
      <w:tr w:rsidR="000F0AF4" w:rsidRPr="000F0AF4" w14:paraId="705C8B8C" w14:textId="77777777" w:rsidTr="001C7E47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67E9427C" w14:textId="77777777" w:rsidR="000F0AF4" w:rsidRPr="000F0AF4" w:rsidRDefault="000F0AF4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9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A8849B" w14:textId="77777777" w:rsidR="000F0AF4" w:rsidRPr="000F0AF4" w:rsidRDefault="000F0AF4" w:rsidP="001C7E47">
            <w:pPr>
              <w:rPr>
                <w:sz w:val="16"/>
                <w:szCs w:val="16"/>
                <w:lang w:eastAsia="es-MX"/>
              </w:rPr>
            </w:pPr>
            <w:proofErr w:type="spellStart"/>
            <w:r w:rsidRPr="000F0AF4">
              <w:rPr>
                <w:sz w:val="16"/>
                <w:szCs w:val="16"/>
                <w:lang w:eastAsia="es-MX"/>
              </w:rPr>
              <w:t>immuno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F42E4A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90 (19-71)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A089A7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CD8B0F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88.00 | 85.46</w:t>
            </w:r>
          </w:p>
        </w:tc>
      </w:tr>
      <w:tr w:rsidR="000F0AF4" w:rsidRPr="000F0AF4" w14:paraId="3B446D37" w14:textId="77777777" w:rsidTr="001C7E47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2962768B" w14:textId="77777777" w:rsidR="000F0AF4" w:rsidRPr="000F0AF4" w:rsidRDefault="000F0AF4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6A6F90" w14:textId="77777777" w:rsidR="000F0AF4" w:rsidRPr="000F0AF4" w:rsidRDefault="000F0AF4" w:rsidP="001C7E47">
            <w:pPr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liver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46C294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345 (145-200)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A36462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4EDB6C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72.45 | 74.20 | 74.78</w:t>
            </w:r>
          </w:p>
        </w:tc>
      </w:tr>
      <w:tr w:rsidR="000F0AF4" w:rsidRPr="000F0AF4" w14:paraId="5499D99F" w14:textId="77777777" w:rsidTr="001C7E47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4B1EAC8C" w14:textId="77777777" w:rsidR="000F0AF4" w:rsidRPr="000F0AF4" w:rsidRDefault="000F0AF4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CE6154" w14:textId="77777777" w:rsidR="000F0AF4" w:rsidRPr="000F0AF4" w:rsidRDefault="000F0AF4" w:rsidP="001C7E47">
            <w:pPr>
              <w:rPr>
                <w:sz w:val="16"/>
                <w:szCs w:val="16"/>
                <w:lang w:eastAsia="es-MX"/>
              </w:rPr>
            </w:pPr>
            <w:proofErr w:type="spellStart"/>
            <w:r w:rsidRPr="000F0AF4">
              <w:rPr>
                <w:sz w:val="16"/>
                <w:szCs w:val="16"/>
                <w:lang w:eastAsia="es-MX"/>
              </w:rPr>
              <w:t>mammo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78D7FC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961(445-516)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02E425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F73430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86.44</w:t>
            </w:r>
          </w:p>
        </w:tc>
      </w:tr>
      <w:tr w:rsidR="000F0AF4" w:rsidRPr="000F0AF4" w14:paraId="72BB298A" w14:textId="77777777" w:rsidTr="001C7E47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2D3E8DD7" w14:textId="77777777" w:rsidR="000F0AF4" w:rsidRPr="000F0AF4" w:rsidRDefault="000F0AF4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D44C38" w14:textId="77777777" w:rsidR="000F0AF4" w:rsidRPr="000F0AF4" w:rsidRDefault="000F0AF4" w:rsidP="001C7E47">
            <w:pPr>
              <w:rPr>
                <w:sz w:val="16"/>
                <w:szCs w:val="16"/>
                <w:lang w:eastAsia="es-MX"/>
              </w:rPr>
            </w:pPr>
            <w:proofErr w:type="spellStart"/>
            <w:r w:rsidRPr="000F0AF4">
              <w:rPr>
                <w:sz w:val="16"/>
                <w:szCs w:val="16"/>
                <w:lang w:eastAsia="es-MX"/>
              </w:rPr>
              <w:t>parkinsons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7CD564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195 (48-147)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131706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6715C7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95.30 | 95.98 | 98.88</w:t>
            </w:r>
          </w:p>
        </w:tc>
      </w:tr>
      <w:tr w:rsidR="000F0AF4" w:rsidRPr="000F0AF4" w14:paraId="60965E70" w14:textId="77777777" w:rsidTr="001C7E47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1358075" w14:textId="77777777" w:rsidR="000F0AF4" w:rsidRPr="000F0AF4" w:rsidRDefault="000F0AF4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8DBC94" w14:textId="77777777" w:rsidR="000F0AF4" w:rsidRPr="000F0AF4" w:rsidRDefault="000F0AF4" w:rsidP="001C7E47">
            <w:pPr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thoracic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885CD1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470 (70-400)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5DC313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118133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85.30 | 85.15</w:t>
            </w:r>
          </w:p>
        </w:tc>
      </w:tr>
      <w:tr w:rsidR="000F0AF4" w:rsidRPr="000F0AF4" w14:paraId="5AE71AD5" w14:textId="77777777" w:rsidTr="001C7E47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03B1D186" w14:textId="77777777" w:rsidR="000F0AF4" w:rsidRPr="000F0AF4" w:rsidRDefault="000F0AF4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BFA532" w14:textId="77777777" w:rsidR="000F0AF4" w:rsidRPr="000F0AF4" w:rsidRDefault="000F0AF4" w:rsidP="001C7E47">
            <w:pPr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transfusion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314CBF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748 (178-570)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5A3691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EC4A31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75.00 | 80.53</w:t>
            </w:r>
          </w:p>
        </w:tc>
      </w:tr>
      <w:tr w:rsidR="000F0AF4" w:rsidRPr="000F0AF4" w14:paraId="5BA1925E" w14:textId="77777777" w:rsidTr="001C7E47">
        <w:trPr>
          <w:trHeight w:hRule="exact" w:val="284"/>
          <w:jc w:val="center"/>
        </w:trPr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EFD3FD5" w14:textId="77777777" w:rsidR="000F0AF4" w:rsidRPr="000F0AF4" w:rsidRDefault="000F0AF4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0F0AF4">
              <w:rPr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86C226" w14:textId="77777777" w:rsidR="000F0AF4" w:rsidRPr="000F0AF4" w:rsidRDefault="000F0AF4" w:rsidP="001C7E47">
            <w:pPr>
              <w:rPr>
                <w:sz w:val="16"/>
                <w:szCs w:val="16"/>
                <w:lang w:eastAsia="es-MX"/>
              </w:rPr>
            </w:pPr>
            <w:proofErr w:type="spellStart"/>
            <w:r w:rsidRPr="000F0AF4">
              <w:rPr>
                <w:sz w:val="16"/>
                <w:szCs w:val="16"/>
                <w:lang w:eastAsia="es-MX"/>
              </w:rPr>
              <w:t>wpbc</w:t>
            </w:r>
            <w:proofErr w:type="spellEnd"/>
          </w:p>
        </w:tc>
        <w:tc>
          <w:tcPr>
            <w:tcW w:w="1236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D2D158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194 (46-148)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B5F6E1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33</w:t>
            </w:r>
          </w:p>
        </w:tc>
        <w:tc>
          <w:tcPr>
            <w:tcW w:w="2073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CD14BE" w14:textId="77777777" w:rsidR="000F0AF4" w:rsidRPr="000F0AF4" w:rsidRDefault="000F0AF4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F0A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80.09 | 81.22</w:t>
            </w:r>
          </w:p>
        </w:tc>
      </w:tr>
    </w:tbl>
    <w:p w14:paraId="73AAAC45" w14:textId="77777777" w:rsidR="008B6A66" w:rsidRDefault="008B6A66" w:rsidP="008B6A66">
      <w:pPr>
        <w:rPr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82977583"/>
        <w:docPartObj>
          <w:docPartGallery w:val="Bibliographies"/>
          <w:docPartUnique/>
        </w:docPartObj>
      </w:sdtPr>
      <w:sdtEndPr>
        <w:rPr>
          <w:sz w:val="24"/>
          <w:szCs w:val="24"/>
          <w:lang w:val="en-US"/>
        </w:rPr>
      </w:sdtEndPr>
      <w:sdtContent>
        <w:p w14:paraId="759FB778" w14:textId="77777777" w:rsidR="008B6A66" w:rsidRDefault="008B6A66" w:rsidP="008B6A66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0B4E6B43" w14:textId="77777777" w:rsidR="008B6A66" w:rsidRDefault="008B6A66" w:rsidP="008B6A66">
              <w:pPr>
                <w:rPr>
                  <w:noProof/>
                  <w:lang w:val="es-MX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9348"/>
              </w:tblGrid>
              <w:tr w:rsidR="008B6A66" w14:paraId="48071840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7595C5" w14:textId="77777777" w:rsidR="008B6A66" w:rsidRDefault="008B6A66" w:rsidP="001C7E47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FF9BC0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D. Dua y C. Graff,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UCI Machine Learning Repository [http://archive.ics.uci.edu/ml], </w:t>
                    </w:r>
                    <w:r w:rsidRPr="003B6FD1">
                      <w:rPr>
                        <w:noProof/>
                      </w:rPr>
                      <w:t xml:space="preserve">Irvine, CA: University of California, School of Information and Computer Science, 2019. </w:t>
                    </w:r>
                  </w:p>
                </w:tc>
              </w:tr>
              <w:tr w:rsidR="008B6A66" w14:paraId="7B2F772D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3A20B2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053782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L. Dioşan, A. Rogozan y J. Pecuchet, «Improving classification performance of support vector machine by genetically optimising kernel shape and hyper-parameters,»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Applied Intelligence, </w:t>
                    </w:r>
                    <w:r w:rsidRPr="003B6FD1">
                      <w:rPr>
                        <w:noProof/>
                      </w:rPr>
                      <w:t xml:space="preserve">vol. 36 , nº 2, pp. 280-294, 2012. </w:t>
                    </w:r>
                  </w:p>
                </w:tc>
              </w:tr>
              <w:tr w:rsidR="008B6A66" w14:paraId="268EE78A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FBEA6A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5CC217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A. López, X. Li y W. Yu, «Support Vector Machine Classification for Large Datasets Using Decision Tree and Fisher Linear Discriminant,»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Future Generation Computer Systems (36) 57-65, </w:t>
                    </w:r>
                    <w:r w:rsidRPr="003B6FD1">
                      <w:rPr>
                        <w:noProof/>
                      </w:rPr>
                      <w:t xml:space="preserve">vol. 36, pp. 57-65, 2014. </w:t>
                    </w:r>
                  </w:p>
                </w:tc>
              </w:tr>
              <w:tr w:rsidR="008B6A66" w14:paraId="10AB94D0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556449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F5257B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A. Rojas-Domínguez, L. C. Padierna, J. M. Carpio, H. J. Puga y H. Fraire, «Optimal Hyper-parameter Tuning of SVM Classifiers with Application to Medical Diagnosis,»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IEEE Access, </w:t>
                    </w:r>
                    <w:r w:rsidRPr="003B6FD1">
                      <w:rPr>
                        <w:noProof/>
                      </w:rPr>
                      <w:t xml:space="preserve">vol. 6, pp. 7164-7176, 2017. </w:t>
                    </w:r>
                  </w:p>
                </w:tc>
              </w:tr>
              <w:tr w:rsidR="008B6A66" w14:paraId="33D907DD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789AB9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D476A9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R. Mantovani, A. Rossi, J. Vanschoren y B. d.-C. A. Bischl, «Effectiveness of Random Search in SVM hyper-parameter tuning,» de </w:t>
                    </w:r>
                    <w:r w:rsidRPr="003B6FD1">
                      <w:rPr>
                        <w:i/>
                        <w:iCs/>
                        <w:noProof/>
                      </w:rPr>
                      <w:t>International Joint Conference on Neural Networks (IJCNN)</w:t>
                    </w:r>
                    <w:r w:rsidRPr="003B6FD1">
                      <w:rPr>
                        <w:noProof/>
                      </w:rPr>
                      <w:t xml:space="preserve">, 2015. </w:t>
                    </w:r>
                  </w:p>
                </w:tc>
              </w:tr>
              <w:tr w:rsidR="008B6A66" w14:paraId="683B3AA5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0F744A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ED0DE7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A. Cüvitoglu y Z. Isik, «Evaluation Machine-Learning Approaches for Classification of Cryotherapy and Immunotherapy Datasets,»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International Journal of Machine Learning and Computing, </w:t>
                    </w:r>
                    <w:r w:rsidRPr="003B6FD1">
                      <w:rPr>
                        <w:noProof/>
                      </w:rPr>
                      <w:t xml:space="preserve">vol. 8, nº 4, pp. 331-335, 2018. </w:t>
                    </w:r>
                  </w:p>
                </w:tc>
              </w:tr>
              <w:tr w:rsidR="008B6A66" w14:paraId="06F2840D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45C327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5C88A1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L. Sun, K.-A. Toh y Z. Lin, «A center sliding Bayesian binary classifier adopting orthogonal polynomials,»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Pattern Recognition, </w:t>
                    </w:r>
                    <w:r w:rsidRPr="003B6FD1">
                      <w:rPr>
                        <w:noProof/>
                      </w:rPr>
                      <w:t xml:space="preserve">vol. 48, nº 6, pp. 2013-2028, 2015. </w:t>
                    </w:r>
                  </w:p>
                </w:tc>
              </w:tr>
              <w:tr w:rsidR="008B6A66" w14:paraId="1D1BC27D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C087FE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2DE7A1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Y. Xu, Z. Yang y X. Pan, «A Novel Twin Support-Vector Machine With Pinball Loss,»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IEEE Transactions on Neural Networks and Learning Systems, </w:t>
                    </w:r>
                    <w:r w:rsidRPr="003B6FD1">
                      <w:rPr>
                        <w:noProof/>
                      </w:rPr>
                      <w:t xml:space="preserve">vol. 28, nº 2, pp. 359-370, 2017. </w:t>
                    </w:r>
                  </w:p>
                </w:tc>
              </w:tr>
              <w:tr w:rsidR="008B6A66" w14:paraId="2980A7F5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00F553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D048AB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H. l. Chen, B. Yang, S. j. Wang, G. Wang, D. y. Liu, H. z. Li y W. b. Liu, «Towards an optimal suppport vector machine classifier using a parallel particle swarm optimization strategy,»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Applied Mathematics and Computation, </w:t>
                    </w:r>
                    <w:r w:rsidRPr="003B6FD1">
                      <w:rPr>
                        <w:noProof/>
                      </w:rPr>
                      <w:t xml:space="preserve">vol. 239, pp. 180-197, 2014. </w:t>
                    </w:r>
                  </w:p>
                </w:tc>
              </w:tr>
              <w:tr w:rsidR="008B6A66" w14:paraId="31D3A5A1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B821B1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F16C46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V. H. Moghaddam y J. Hamidzadeh, «New Hermite orthogonal polynomial kernel and combined kernels in Support Vector Machine classifier,»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Pattern Recognition, </w:t>
                    </w:r>
                    <w:r w:rsidRPr="003B6FD1">
                      <w:rPr>
                        <w:noProof/>
                      </w:rPr>
                      <w:t xml:space="preserve">vol. 60, pp. 921-935, 2016. </w:t>
                    </w:r>
                  </w:p>
                </w:tc>
              </w:tr>
              <w:tr w:rsidR="008B6A66" w14:paraId="6044C5A0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85D00E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8B7642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Y. F. Hernández-Julio, M. J. Prieto-Guevara, W. Nieto-Bernal, I. Meriño-Fuentes y A. Guerrero-Avendaño, «Framework for the Development of Data-Driven Mamdani-Type Fuzzy Clinical Decision Support Systems,»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Diagnostics, </w:t>
                    </w:r>
                    <w:r w:rsidRPr="003B6FD1">
                      <w:rPr>
                        <w:noProof/>
                      </w:rPr>
                      <w:t xml:space="preserve">vol. 9, nº 2, p. 52, 2019. </w:t>
                    </w:r>
                  </w:p>
                </w:tc>
              </w:tr>
              <w:tr w:rsidR="008B6A66" w14:paraId="291FC9B8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5E6A82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28DFD5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J. Zhao, Z. Yang y X. Yitian, «Nonparallel least square support vector machine for classification,»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Applied Intelligence, </w:t>
                    </w:r>
                    <w:r w:rsidRPr="003B6FD1">
                      <w:rPr>
                        <w:noProof/>
                      </w:rPr>
                      <w:t xml:space="preserve">pp. 1-10, 2016. </w:t>
                    </w:r>
                  </w:p>
                </w:tc>
              </w:tr>
              <w:tr w:rsidR="008B6A66" w14:paraId="605628BF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8A5B6E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E25EA8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L. Shen, H. Chen, Yu, W. Kang, B. Zhang, H. Li, Y. Bo y D. Liu, «Evolving support vector machines using fruit fly optimization for medical data classification,»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Knowledge-Based Systems, </w:t>
                    </w:r>
                    <w:r w:rsidRPr="003B6FD1">
                      <w:rPr>
                        <w:noProof/>
                      </w:rPr>
                      <w:t xml:space="preserve">vol. 96, nº 15, pp. 61-75, March 2016. </w:t>
                    </w:r>
                  </w:p>
                </w:tc>
              </w:tr>
              <w:tr w:rsidR="008B6A66" w14:paraId="455218CE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661FCB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DEAAFA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M. Li, X. Lu, X. Wang, S. Lu y N. Zhong, «Biomedical classification application and parameters optimization of mixed kernel SVM based on the information entropy particle swarm optimization,»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Computer Assited Surgery, </w:t>
                    </w:r>
                    <w:r w:rsidRPr="003B6FD1">
                      <w:rPr>
                        <w:noProof/>
                      </w:rPr>
                      <w:t xml:space="preserve">vol. 21, nº 1, pp. 132-141, 2016. </w:t>
                    </w:r>
                  </w:p>
                </w:tc>
              </w:tr>
            </w:tbl>
            <w:p w14:paraId="798E6475" w14:textId="77777777" w:rsidR="008B6A66" w:rsidRDefault="008B6A66" w:rsidP="008B6A66">
              <w:pPr>
                <w:rPr>
                  <w:rFonts w:eastAsia="Times New Roman"/>
                  <w:noProof/>
                </w:rPr>
              </w:pPr>
            </w:p>
            <w:p w14:paraId="66B0E399" w14:textId="77777777" w:rsidR="008B6A66" w:rsidRDefault="008B6A66" w:rsidP="008B6A6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B18519B" w14:textId="77777777" w:rsidR="008B6A66" w:rsidRPr="0035377B" w:rsidRDefault="008B6A66" w:rsidP="008B6A66">
      <w:pPr>
        <w:rPr>
          <w:lang w:val="es-MX"/>
        </w:rPr>
      </w:pPr>
    </w:p>
    <w:p w14:paraId="6E367B63" w14:textId="77777777" w:rsidR="008B6A66" w:rsidRPr="00252520" w:rsidRDefault="008B6A66" w:rsidP="00252520">
      <w:pPr>
        <w:tabs>
          <w:tab w:val="left" w:pos="1980"/>
        </w:tabs>
        <w:jc w:val="both"/>
        <w:rPr>
          <w:sz w:val="18"/>
          <w:szCs w:val="18"/>
          <w:lang w:val="es-MX"/>
        </w:rPr>
      </w:pPr>
    </w:p>
    <w:sectPr w:rsidR="008B6A66" w:rsidRPr="00252520" w:rsidSect="00C92B0F">
      <w:headerReference w:type="default" r:id="rId15"/>
      <w:footerReference w:type="default" r:id="rId16"/>
      <w:pgSz w:w="12240" w:h="15840"/>
      <w:pgMar w:top="0" w:right="1325" w:bottom="1440" w:left="1134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C1D78" w14:textId="77777777" w:rsidR="00A840E8" w:rsidRDefault="00A840E8" w:rsidP="0060085F">
      <w:r>
        <w:separator/>
      </w:r>
    </w:p>
  </w:endnote>
  <w:endnote w:type="continuationSeparator" w:id="0">
    <w:p w14:paraId="7D30F112" w14:textId="77777777" w:rsidR="00A840E8" w:rsidRDefault="00A840E8" w:rsidP="0060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¿ˇø‡$5'38P(§—6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6C550" w14:textId="6265985A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DEPARTAMENTO DE INGENIERÍAS QUÍMICA</w:t>
    </w:r>
    <w:r w:rsidR="00C56D57"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,</w:t>
    </w: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 xml:space="preserve"> ELECTRÓNICA Y BIOMÉDICA</w:t>
    </w:r>
  </w:p>
  <w:p w14:paraId="0A065D96" w14:textId="77777777" w:rsidR="008B60FC" w:rsidRPr="00055CA4" w:rsidRDefault="008B60FC" w:rsidP="008B60FC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DIVISIÓN DE CIENCIAS E INGENIERÍAS</w:t>
    </w:r>
  </w:p>
  <w:p w14:paraId="5CDF7342" w14:textId="47734EBB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Loma </w:t>
    </w:r>
    <w:r w:rsidR="00A547B6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del Bosque #103, C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ol. Lomas del Campestre. León, Gto. C.P. 3</w:t>
    </w:r>
    <w:r w:rsidR="00557FE8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7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150</w:t>
    </w:r>
  </w:p>
  <w:p w14:paraId="035586D8" w14:textId="075F96E9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Tel. </w:t>
    </w:r>
    <w:r w:rsidR="008B60FC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+52 (477) 7 88 51 00 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ext. 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8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522</w:t>
    </w:r>
  </w:p>
  <w:p w14:paraId="5915F24C" w14:textId="6483D616" w:rsidR="0041503D" w:rsidRPr="00055CA4" w:rsidRDefault="00EF5C05" w:rsidP="0041503D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lc.padierna</w:t>
    </w:r>
    <w:r w:rsid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@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ugto.mx</w:t>
    </w:r>
  </w:p>
  <w:p w14:paraId="5533F499" w14:textId="338FE2AC" w:rsidR="00295D59" w:rsidRPr="00055CA4" w:rsidRDefault="00050465" w:rsidP="00050465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www.dci.ugto.mx/depingquim</w:t>
    </w:r>
  </w:p>
  <w:p w14:paraId="34BFD4B0" w14:textId="77777777" w:rsidR="00055CA4" w:rsidRPr="0058110A" w:rsidRDefault="00055CA4">
    <w:pPr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A8DFC" w14:textId="77777777" w:rsidR="00A840E8" w:rsidRDefault="00A840E8" w:rsidP="0060085F">
      <w:r>
        <w:separator/>
      </w:r>
    </w:p>
  </w:footnote>
  <w:footnote w:type="continuationSeparator" w:id="0">
    <w:p w14:paraId="4CAB3F4D" w14:textId="77777777" w:rsidR="00A840E8" w:rsidRDefault="00A840E8" w:rsidP="00600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463F1" w14:textId="51EF97B2" w:rsidR="00402C28" w:rsidRDefault="00402C28" w:rsidP="00402C28">
    <w:pPr>
      <w:pStyle w:val="Encabezado"/>
      <w:jc w:val="cen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190D417C" wp14:editId="2A75539C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776000" cy="1431126"/>
          <wp:effectExtent l="0" t="0" r="0" b="0"/>
          <wp:wrapNone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zal escudo para hoj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4311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56F8F"/>
    <w:multiLevelType w:val="hybridMultilevel"/>
    <w:tmpl w:val="46FA70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B2DA5"/>
    <w:multiLevelType w:val="hybridMultilevel"/>
    <w:tmpl w:val="B7863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CA7A2B"/>
    <w:multiLevelType w:val="hybridMultilevel"/>
    <w:tmpl w:val="B0A2E9B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76DA6110"/>
    <w:multiLevelType w:val="multilevel"/>
    <w:tmpl w:val="EBB636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5F"/>
    <w:rsid w:val="00000BF4"/>
    <w:rsid w:val="000021B7"/>
    <w:rsid w:val="00016BFA"/>
    <w:rsid w:val="00030AD0"/>
    <w:rsid w:val="00050465"/>
    <w:rsid w:val="00055CA4"/>
    <w:rsid w:val="00086247"/>
    <w:rsid w:val="000918EE"/>
    <w:rsid w:val="000A6460"/>
    <w:rsid w:val="000B10FF"/>
    <w:rsid w:val="000E4BB0"/>
    <w:rsid w:val="000F0AF4"/>
    <w:rsid w:val="000F2EC7"/>
    <w:rsid w:val="000F35C6"/>
    <w:rsid w:val="000F4BE7"/>
    <w:rsid w:val="00111DD8"/>
    <w:rsid w:val="00120032"/>
    <w:rsid w:val="00130296"/>
    <w:rsid w:val="00141C7B"/>
    <w:rsid w:val="00165B47"/>
    <w:rsid w:val="0018488A"/>
    <w:rsid w:val="001B1CD0"/>
    <w:rsid w:val="001C225D"/>
    <w:rsid w:val="002023BF"/>
    <w:rsid w:val="00226245"/>
    <w:rsid w:val="00236323"/>
    <w:rsid w:val="00252520"/>
    <w:rsid w:val="002543D1"/>
    <w:rsid w:val="00263074"/>
    <w:rsid w:val="00271796"/>
    <w:rsid w:val="00295D59"/>
    <w:rsid w:val="002A5B84"/>
    <w:rsid w:val="002A614F"/>
    <w:rsid w:val="002E2673"/>
    <w:rsid w:val="002F2D3D"/>
    <w:rsid w:val="002F2DB5"/>
    <w:rsid w:val="00351E1B"/>
    <w:rsid w:val="00377438"/>
    <w:rsid w:val="00385CF7"/>
    <w:rsid w:val="00397FB8"/>
    <w:rsid w:val="003E1421"/>
    <w:rsid w:val="00402C28"/>
    <w:rsid w:val="0041503D"/>
    <w:rsid w:val="00447EA2"/>
    <w:rsid w:val="00454ACB"/>
    <w:rsid w:val="00460D5C"/>
    <w:rsid w:val="0046730D"/>
    <w:rsid w:val="004A5419"/>
    <w:rsid w:val="004F52D2"/>
    <w:rsid w:val="0051202A"/>
    <w:rsid w:val="00516D96"/>
    <w:rsid w:val="00553B47"/>
    <w:rsid w:val="00557FE8"/>
    <w:rsid w:val="00561793"/>
    <w:rsid w:val="0058110A"/>
    <w:rsid w:val="00586182"/>
    <w:rsid w:val="00586974"/>
    <w:rsid w:val="0058729C"/>
    <w:rsid w:val="00596938"/>
    <w:rsid w:val="005B177A"/>
    <w:rsid w:val="005B7CFF"/>
    <w:rsid w:val="005C1FB0"/>
    <w:rsid w:val="005C26EC"/>
    <w:rsid w:val="005D61AB"/>
    <w:rsid w:val="005D6A11"/>
    <w:rsid w:val="005E6613"/>
    <w:rsid w:val="005F51F6"/>
    <w:rsid w:val="0060085F"/>
    <w:rsid w:val="006619A8"/>
    <w:rsid w:val="006868C3"/>
    <w:rsid w:val="00691488"/>
    <w:rsid w:val="00693A19"/>
    <w:rsid w:val="006A31FD"/>
    <w:rsid w:val="006A74CB"/>
    <w:rsid w:val="006B6A91"/>
    <w:rsid w:val="006C3A13"/>
    <w:rsid w:val="006C40B6"/>
    <w:rsid w:val="006E4D44"/>
    <w:rsid w:val="00726EAC"/>
    <w:rsid w:val="00764462"/>
    <w:rsid w:val="007829F2"/>
    <w:rsid w:val="00785849"/>
    <w:rsid w:val="00794975"/>
    <w:rsid w:val="00817D8E"/>
    <w:rsid w:val="008323B9"/>
    <w:rsid w:val="00881D1F"/>
    <w:rsid w:val="00897D59"/>
    <w:rsid w:val="008A756F"/>
    <w:rsid w:val="008B123C"/>
    <w:rsid w:val="008B60FC"/>
    <w:rsid w:val="008B6A66"/>
    <w:rsid w:val="008C0AF5"/>
    <w:rsid w:val="008C3345"/>
    <w:rsid w:val="008E15B4"/>
    <w:rsid w:val="00912A54"/>
    <w:rsid w:val="00917AC1"/>
    <w:rsid w:val="009306D6"/>
    <w:rsid w:val="009431E3"/>
    <w:rsid w:val="009810AA"/>
    <w:rsid w:val="00993DED"/>
    <w:rsid w:val="009C50AF"/>
    <w:rsid w:val="009C718F"/>
    <w:rsid w:val="009D33FD"/>
    <w:rsid w:val="009D3B65"/>
    <w:rsid w:val="009F3290"/>
    <w:rsid w:val="00A21F77"/>
    <w:rsid w:val="00A547B6"/>
    <w:rsid w:val="00A636E9"/>
    <w:rsid w:val="00A7595A"/>
    <w:rsid w:val="00A840E8"/>
    <w:rsid w:val="00AD5324"/>
    <w:rsid w:val="00AD641F"/>
    <w:rsid w:val="00AF41DD"/>
    <w:rsid w:val="00AF6F37"/>
    <w:rsid w:val="00B04DA1"/>
    <w:rsid w:val="00B10276"/>
    <w:rsid w:val="00B10797"/>
    <w:rsid w:val="00B13D07"/>
    <w:rsid w:val="00B146F1"/>
    <w:rsid w:val="00B21C91"/>
    <w:rsid w:val="00B346DC"/>
    <w:rsid w:val="00B35F2B"/>
    <w:rsid w:val="00BD0519"/>
    <w:rsid w:val="00BD301E"/>
    <w:rsid w:val="00BE129E"/>
    <w:rsid w:val="00BE2809"/>
    <w:rsid w:val="00C02A89"/>
    <w:rsid w:val="00C25E00"/>
    <w:rsid w:val="00C377E2"/>
    <w:rsid w:val="00C411F5"/>
    <w:rsid w:val="00C422CD"/>
    <w:rsid w:val="00C42A51"/>
    <w:rsid w:val="00C56D57"/>
    <w:rsid w:val="00C6256E"/>
    <w:rsid w:val="00C82557"/>
    <w:rsid w:val="00C85377"/>
    <w:rsid w:val="00C92B0F"/>
    <w:rsid w:val="00CA5131"/>
    <w:rsid w:val="00CB5828"/>
    <w:rsid w:val="00CB7E96"/>
    <w:rsid w:val="00CE2C15"/>
    <w:rsid w:val="00CF43AE"/>
    <w:rsid w:val="00D319E0"/>
    <w:rsid w:val="00D372C6"/>
    <w:rsid w:val="00D72A1A"/>
    <w:rsid w:val="00D85089"/>
    <w:rsid w:val="00DC5336"/>
    <w:rsid w:val="00DE4C26"/>
    <w:rsid w:val="00DE7421"/>
    <w:rsid w:val="00DF26B8"/>
    <w:rsid w:val="00E04D88"/>
    <w:rsid w:val="00E17C39"/>
    <w:rsid w:val="00E23380"/>
    <w:rsid w:val="00E23E29"/>
    <w:rsid w:val="00E57CDE"/>
    <w:rsid w:val="00E64937"/>
    <w:rsid w:val="00E7484B"/>
    <w:rsid w:val="00EB4C99"/>
    <w:rsid w:val="00ED61AD"/>
    <w:rsid w:val="00EF5C05"/>
    <w:rsid w:val="00F03114"/>
    <w:rsid w:val="00F23776"/>
    <w:rsid w:val="00F35ACC"/>
    <w:rsid w:val="00F56CD7"/>
    <w:rsid w:val="00F610EB"/>
    <w:rsid w:val="00F63956"/>
    <w:rsid w:val="00F84252"/>
    <w:rsid w:val="00F86C12"/>
    <w:rsid w:val="00FC1803"/>
    <w:rsid w:val="00FC50DC"/>
    <w:rsid w:val="00FD6A99"/>
    <w:rsid w:val="00FE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323DCB"/>
  <w15:docId w15:val="{5622424A-108F-654B-A5A8-129AE86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6A6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5F"/>
  </w:style>
  <w:style w:type="paragraph" w:styleId="Piedepgina">
    <w:name w:val="footer"/>
    <w:basedOn w:val="Normal"/>
    <w:link w:val="Piedepgina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85F"/>
  </w:style>
  <w:style w:type="paragraph" w:styleId="Textodeglobo">
    <w:name w:val="Balloon Text"/>
    <w:basedOn w:val="Normal"/>
    <w:link w:val="TextodegloboCar"/>
    <w:uiPriority w:val="99"/>
    <w:semiHidden/>
    <w:unhideWhenUsed/>
    <w:rsid w:val="002F2DB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DB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B177A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A636E9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s-MX"/>
    </w:rPr>
  </w:style>
  <w:style w:type="character" w:customStyle="1" w:styleId="BodyText2">
    <w:name w:val="Body Text2"/>
    <w:qFormat/>
    <w:rsid w:val="00B346DC"/>
    <w:rPr>
      <w:rFonts w:ascii="Verdana" w:hAnsi="Verdana" w:cs="Verdana"/>
      <w:color w:val="000000"/>
      <w:sz w:val="22"/>
      <w:szCs w:val="22"/>
    </w:rPr>
  </w:style>
  <w:style w:type="paragraph" w:customStyle="1" w:styleId="PARA">
    <w:name w:val="PARA"/>
    <w:basedOn w:val="Normal"/>
    <w:qFormat/>
    <w:rsid w:val="00B346DC"/>
    <w:pPr>
      <w:suppressAutoHyphens/>
      <w:spacing w:line="240" w:lineRule="exact"/>
      <w:jc w:val="both"/>
    </w:pPr>
    <w:rPr>
      <w:rFonts w:ascii="Times New Roman" w:eastAsia="Times New Roman" w:hAnsi="Times New Roman" w:cs="TimesLTStd-Roman"/>
      <w:spacing w:val="-2"/>
      <w:sz w:val="20"/>
      <w:szCs w:val="20"/>
      <w:lang w:val="en-GB" w:eastAsia="en-GB"/>
    </w:rPr>
  </w:style>
  <w:style w:type="character" w:styleId="Hipervnculo">
    <w:name w:val="Hyperlink"/>
    <w:basedOn w:val="Fuentedeprrafopredeter"/>
    <w:uiPriority w:val="99"/>
    <w:unhideWhenUsed/>
    <w:rsid w:val="0059693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B6A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 w:eastAsia="es-MX"/>
    </w:rPr>
  </w:style>
  <w:style w:type="table" w:styleId="Tablaconcuadrcula">
    <w:name w:val="Table Grid"/>
    <w:basedOn w:val="Tablanormal"/>
    <w:uiPriority w:val="39"/>
    <w:rsid w:val="008B6A66"/>
    <w:rPr>
      <w:sz w:val="22"/>
      <w:szCs w:val="22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B6A66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8B6A66"/>
    <w:pPr>
      <w:spacing w:after="160" w:line="259" w:lineRule="auto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0F0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chive.ics.uci.edu/ml/index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Dio12</b:Tag>
    <b:SourceType>JournalArticle</b:SourceType>
    <b:Guid>{B1310BC4-3DCF-490C-A64B-47632E367253}</b:Guid>
    <b:Title>Improving classification performance of support vector machine by genetically optimising kernel shape and hyper-parameters</b:Title>
    <b:Pages>280-294</b:Pages>
    <b:Year>2012</b:Year>
    <b:Author>
      <b:Author>
        <b:NameList>
          <b:Person>
            <b:Last>Dioşan</b:Last>
            <b:First>L</b:First>
          </b:Person>
          <b:Person>
            <b:Last>Rogozan</b:Last>
            <b:First>A</b:First>
          </b:Person>
          <b:Person>
            <b:Last>Pecuchet</b:Last>
            <b:First>J</b:First>
          </b:Person>
        </b:NameList>
      </b:Author>
    </b:Author>
    <b:JournalName>Applied Intelligence</b:JournalName>
    <b:Volume>36 </b:Volume>
    <b:Issue>2</b:Issue>
    <b:RefOrder>1</b:RefOrder>
  </b:Source>
  <b:Source>
    <b:Tag>Asd14</b:Tag>
    <b:SourceType>JournalArticle</b:SourceType>
    <b:Guid>{52EE0143-F6E9-4705-8182-1E080190B461}</b:Guid>
    <b:Title>Support Vector Machine Classification for Large Datasets Using Decision Tree and Fisher Linear Discriminant</b:Title>
    <b:Year>2014</b:Year>
    <b:Author>
      <b:Author>
        <b:NameList>
          <b:Person>
            <b:Last>López</b:Last>
            <b:First>Asdrúbal</b:First>
          </b:Person>
          <b:Person>
            <b:Last>Li</b:Last>
            <b:First>Xiaoou</b:First>
          </b:Person>
          <b:Person>
            <b:Last>Yu</b:Last>
            <b:First>Wen</b:First>
          </b:Person>
        </b:NameList>
      </b:Author>
    </b:Author>
    <b:JournalName>Future Generation Computer Systems (36) 57-65</b:JournalName>
    <b:Pages>57-65</b:Pages>
    <b:Volume>36</b:Volume>
    <b:RefOrder>2</b:RefOrder>
  </b:Source>
  <b:Source>
    <b:Tag>Roj17</b:Tag>
    <b:SourceType>JournalArticle</b:SourceType>
    <b:Guid>{59601597-9E71-4917-B34C-DBD9199EF5FB}</b:Guid>
    <b:Title>Optimal Hyper-parameter Tuning of SVM Classifiers with Application to Medical Diagnosis</b:Title>
    <b:Year>2017</b:Year>
    <b:Author>
      <b:Author>
        <b:NameList>
          <b:Person>
            <b:Last>Rojas-Domínguez</b:Last>
            <b:First>Alfonso</b:First>
          </b:Person>
          <b:Person>
            <b:Last>Padierna</b:Last>
            <b:First>Luis</b:First>
            <b:Middle>Carlos</b:Middle>
          </b:Person>
          <b:Person>
            <b:Last>Carpio</b:Last>
            <b:First>Juan</b:First>
            <b:Middle>Martín</b:Middle>
          </b:Person>
          <b:Person>
            <b:Last>Puga</b:Last>
            <b:First>Héctor</b:First>
            <b:Middle>J.</b:Middle>
          </b:Person>
          <b:Person>
            <b:Last>Fraire</b:Last>
            <b:First>H.J.</b:First>
          </b:Person>
        </b:NameList>
      </b:Author>
    </b:Author>
    <b:JournalName>IEEE Access</b:JournalName>
    <b:Pages>7164-7176</b:Pages>
    <b:Volume>6</b:Volume>
    <b:RefOrder>3</b:RefOrder>
  </b:Source>
  <b:Source>
    <b:Tag>Man15</b:Tag>
    <b:SourceType>ConferenceProceedings</b:SourceType>
    <b:Guid>{48C3812C-3966-4475-80A6-26D1A7495099}</b:Guid>
    <b:Title>Effectiveness of Random Search in SVM hyper-parameter tuning</b:Title>
    <b:Year>2015</b:Year>
    <b:Pages>12-17</b:Pages>
    <b:Author>
      <b:Author>
        <b:NameList>
          <b:Person>
            <b:Last>Mantovani</b:Last>
            <b:First>R.G</b:First>
          </b:Person>
          <b:Person>
            <b:Last>Rossi</b:Last>
            <b:First>A.L.D</b:First>
          </b:Person>
          <b:Person>
            <b:Last>Vanschoren</b:Last>
            <b:First>J.</b:First>
          </b:Person>
          <b:Person>
            <b:Last>Bischl</b:Last>
            <b:First>B.,</b:First>
            <b:Middle>de-Carvalho, A.C.P.L.F</b:Middle>
          </b:Person>
        </b:NameList>
      </b:Author>
    </b:Author>
    <b:ConferenceName>International Joint Conference on Neural Networks (IJCNN)</b:ConferenceName>
    <b:Publisher>IEEE</b:Publisher>
    <b:RefOrder>4</b:RefOrder>
  </b:Source>
  <b:Source>
    <b:Tag>Cüv18</b:Tag>
    <b:SourceType>JournalArticle</b:SourceType>
    <b:Guid>{7F92C51C-714F-4AC6-8C59-55C921DBCD65}</b:Guid>
    <b:Author>
      <b:Author>
        <b:NameList>
          <b:Person>
            <b:Last>Cüvitoglu</b:Last>
            <b:First>Ali</b:First>
          </b:Person>
          <b:Person>
            <b:Last>Isik</b:Last>
            <b:First>Zerrin</b:First>
          </b:Person>
        </b:NameList>
      </b:Author>
    </b:Author>
    <b:Title>Evaluation Machine-Learning Approaches for Classification of Cryotherapy and Immunotherapy Datasets</b:Title>
    <b:JournalName>International Journal of Machine Learning and Computing</b:JournalName>
    <b:Year>2018</b:Year>
    <b:Pages>331-335</b:Pages>
    <b:Volume>8</b:Volume>
    <b:Issue>4</b:Issue>
    <b:RefOrder>5</b:RefOrder>
  </b:Source>
  <b:Source>
    <b:Tag>Sun15</b:Tag>
    <b:SourceType>JournalArticle</b:SourceType>
    <b:Guid>{C53CA435-1D8F-4BEB-AF12-2E615ED8AD7C}</b:Guid>
    <b:Author>
      <b:Author>
        <b:NameList>
          <b:Person>
            <b:Last>Sun</b:Last>
            <b:First>Lei</b:First>
          </b:Person>
          <b:Person>
            <b:Last>Toh</b:Last>
            <b:First>Kar-Ann</b:First>
          </b:Person>
          <b:Person>
            <b:Last>Lin</b:Last>
            <b:First>Zhiping</b:First>
          </b:Person>
        </b:NameList>
      </b:Author>
    </b:Author>
    <b:Title>A center sliding Bayesian binary classifier adopting orthogonal polynomials</b:Title>
    <b:Pages>2013-2028</b:Pages>
    <b:Year>2015</b:Year>
    <b:JournalName>Pattern Recognition</b:JournalName>
    <b:Volume>48</b:Volume>
    <b:Issue>6</b:Issue>
    <b:RefOrder>6</b:RefOrder>
  </b:Source>
  <b:Source>
    <b:Tag>XuY17</b:Tag>
    <b:SourceType>JournalArticle</b:SourceType>
    <b:Guid>{B2F19FBF-95A5-4CD3-BB9C-190A4DD9E3AC}</b:Guid>
    <b:Author>
      <b:Author>
        <b:NameList>
          <b:Person>
            <b:Last>Xu</b:Last>
            <b:First>Yitian</b:First>
          </b:Person>
          <b:Person>
            <b:Last>Yang</b:Last>
            <b:First>Zhiji</b:First>
          </b:Person>
          <b:Person>
            <b:Last>Pan</b:Last>
            <b:First>Xianli</b:First>
          </b:Person>
        </b:NameList>
      </b:Author>
    </b:Author>
    <b:Title>A Novel Twin Support-Vector Machine With Pinball Loss</b:Title>
    <b:JournalName>IEEE Transactions on Neural Networks and Learning Systems</b:JournalName>
    <b:Year>2017</b:Year>
    <b:Pages>359-370</b:Pages>
    <b:Volume>28</b:Volume>
    <b:Issue>2</b:Issue>
    <b:RefOrder>7</b:RefOrder>
  </b:Source>
  <b:Source>
    <b:Tag>Che14</b:Tag>
    <b:SourceType>JournalArticle</b:SourceType>
    <b:Guid>{F6EC9B7D-567C-474C-9388-5B1FE42C6AE9}</b:Guid>
    <b:Author>
      <b:Author>
        <b:NameList>
          <b:Person>
            <b:Last>Chen</b:Last>
            <b:First>Hui</b:First>
            <b:Middle>ling</b:Middle>
          </b:Person>
          <b:Person>
            <b:Last>Yang</b:Last>
            <b:First>Bo</b:First>
          </b:Person>
          <b:Person>
            <b:Last>Wang</b:Last>
            <b:First>Su</b:First>
            <b:Middle>jing</b:Middle>
          </b:Person>
          <b:Person>
            <b:Last>Wang</b:Last>
            <b:First>Gang</b:First>
          </b:Person>
          <b:Person>
            <b:Last>Liu</b:Last>
            <b:First>Da</b:First>
            <b:Middle>you</b:Middle>
          </b:Person>
          <b:Person>
            <b:Last>Li</b:Last>
            <b:First>Huai</b:First>
            <b:Middle>zhong</b:Middle>
          </b:Person>
          <b:Person>
            <b:Last>Liu</b:Last>
            <b:First>Wen</b:First>
            <b:Middle>bin</b:Middle>
          </b:Person>
        </b:NameList>
      </b:Author>
    </b:Author>
    <b:Title>Towards an optimal suppport vector machine classifier using a parallel particle swarm optimization strategy</b:Title>
    <b:JournalName>Applied Mathematics and Computation</b:JournalName>
    <b:Year>2014</b:Year>
    <b:Pages>180-197</b:Pages>
    <b:Volume>239</b:Volume>
    <b:RefOrder>8</b:RefOrder>
  </b:Source>
  <b:Source>
    <b:Tag>Mog16</b:Tag>
    <b:SourceType>JournalArticle</b:SourceType>
    <b:Guid>{1C2BE3B7-6A55-4C22-B121-91B130E8EF8B}</b:Guid>
    <b:Author>
      <b:Author>
        <b:NameList>
          <b:Person>
            <b:Last>Moghaddam</b:Last>
            <b:First>V.</b:First>
            <b:Middle>H.</b:Middle>
          </b:Person>
          <b:Person>
            <b:Last>Hamidzadeh</b:Last>
            <b:First>J.</b:First>
          </b:Person>
        </b:NameList>
      </b:Author>
    </b:Author>
    <b:Title>New Hermite orthogonal polynomial kernel and combined kernels in Support Vector Machine classifier</b:Title>
    <b:JournalName>Pattern Recognition</b:JournalName>
    <b:Year>2016</b:Year>
    <b:Pages>921-935</b:Pages>
    <b:Volume>60</b:Volume>
    <b:RefOrder>9</b:RefOrder>
  </b:Source>
  <b:Source>
    <b:Tag>Her19</b:Tag>
    <b:SourceType>JournalArticle</b:SourceType>
    <b:Guid>{0CA2C2EA-919F-4B12-9388-C92897125421}</b:Guid>
    <b:Author>
      <b:Author>
        <b:NameList>
          <b:Person>
            <b:Last>Hernández-Julio</b:Last>
            <b:First>Yamid</b:First>
            <b:Middle>Fabián</b:Middle>
          </b:Person>
          <b:Person>
            <b:Last>Prieto-Guevara</b:Last>
            <b:First>Martha</b:First>
            <b:Middle>Janeth</b:Middle>
          </b:Person>
          <b:Person>
            <b:Last>Nieto-Bernal</b:Last>
            <b:First>Wilson</b:First>
          </b:Person>
          <b:Person>
            <b:Last>Meriño-Fuentes</b:Last>
            <b:First>Inés</b:First>
          </b:Person>
          <b:Person>
            <b:Last>Guerrero-Avendaño</b:Last>
            <b:First>Alexander</b:First>
          </b:Person>
        </b:NameList>
      </b:Author>
    </b:Author>
    <b:Title>Framework for the Development of Data-Driven Mamdani-Type Fuzzy Clinical Decision Support Systems</b:Title>
    <b:JournalName>Diagnostics</b:JournalName>
    <b:Year>2019</b:Year>
    <b:Pages>52</b:Pages>
    <b:Volume>9</b:Volume>
    <b:Issue>2</b:Issue>
    <b:RefOrder>10</b:RefOrder>
  </b:Source>
  <b:Source>
    <b:Tag>Zha16</b:Tag>
    <b:SourceType>JournalArticle</b:SourceType>
    <b:Guid>{C853DE41-E983-46B9-8B6B-35A90E08F0DA}</b:Guid>
    <b:Author>
      <b:Author>
        <b:NameList>
          <b:Person>
            <b:Last>Zhao</b:Last>
            <b:First>Jiang</b:First>
          </b:Person>
          <b:Person>
            <b:Last>Yang</b:Last>
            <b:First>Zhiji</b:First>
          </b:Person>
          <b:Person>
            <b:Last>Yitian</b:Last>
            <b:First>Xu</b:First>
          </b:Person>
        </b:NameList>
      </b:Author>
    </b:Author>
    <b:Title>Nonparallel least square support vector machine for classification</b:Title>
    <b:JournalName>Applied Intelligence</b:JournalName>
    <b:Year>2016</b:Year>
    <b:Pages>1-10</b:Pages>
    <b:RefOrder>11</b:RefOrder>
  </b:Source>
  <b:Source>
    <b:Tag>Lim16</b:Tag>
    <b:SourceType>JournalArticle</b:SourceType>
    <b:Guid>{4B6DBF92-C623-4481-9D76-D11A5E2B05BF}</b:Guid>
    <b:Title>Evolving support vector machines using fruit fly optimization for medical data classification</b:Title>
    <b:Year>2016</b:Year>
    <b:Author>
      <b:Author>
        <b:NameList>
          <b:Person>
            <b:Last>Shen</b:Last>
            <b:First>Liming</b:First>
          </b:Person>
          <b:Person>
            <b:Last>Chen</b:Last>
            <b:First>Huiling</b:First>
          </b:Person>
          <b:Person>
            <b:Last>Yu</b:Last>
          </b:Person>
          <b:Person>
            <b:Last>Kang</b:Last>
            <b:First>Wenchang</b:First>
          </b:Person>
          <b:Person>
            <b:Last>Zhang</b:Last>
            <b:First>Bingyu</b:First>
          </b:Person>
          <b:Person>
            <b:Last>Li</b:Last>
            <b:First>Huaizhong</b:First>
          </b:Person>
          <b:Person>
            <b:Last>Bo</b:Last>
            <b:First>Yang</b:First>
          </b:Person>
          <b:Person>
            <b:Last>Liu</b:Last>
            <b:First>Dayou</b:First>
          </b:Person>
        </b:NameList>
      </b:Author>
    </b:Author>
    <b:JournalName>Knowledge-Based Systems</b:JournalName>
    <b:Pages>61-75</b:Pages>
    <b:Volume>96</b:Volume>
    <b:Issue>15</b:Issue>
    <b:Month>March</b:Month>
    <b:RefOrder>12</b:RefOrder>
  </b:Source>
  <b:Source>
    <b:Tag>LiM16</b:Tag>
    <b:SourceType>JournalArticle</b:SourceType>
    <b:Guid>{AC59DA0A-3128-46EE-9604-12D44E9867E9}</b:Guid>
    <b:Author>
      <b:Author>
        <b:NameList>
          <b:Person>
            <b:Last>Li</b:Last>
            <b:First>Mi</b:First>
          </b:Person>
          <b:Person>
            <b:Last>Lu</b:Last>
            <b:First>Xiaofeng</b:First>
          </b:Person>
          <b:Person>
            <b:Last>Wang</b:Last>
            <b:First>Xiaodong</b:First>
          </b:Person>
          <b:Person>
            <b:Last>Lu</b:Last>
            <b:First>Shengfu</b:First>
          </b:Person>
          <b:Person>
            <b:Last>Zhong</b:Last>
            <b:First>Ning</b:First>
          </b:Person>
        </b:NameList>
      </b:Author>
    </b:Author>
    <b:Title>Biomedical classification application and parameters optimization of mixed kernel SVM based on the information entropy particle swarm optimization</b:Title>
    <b:JournalName>Computer Assited Surgery</b:JournalName>
    <b:Year>2016</b:Year>
    <b:Pages>132-141</b:Pages>
    <b:Volume>21</b:Volume>
    <b:Issue>1</b:Issue>
    <b:RefOrder>13</b:RefOrder>
  </b:Source>
  <b:Source>
    <b:Tag>Dua19</b:Tag>
    <b:SourceType>Misc</b:SourceType>
    <b:Guid>{709AAD78-F6EF-4935-9ED1-9442E194F3A1}</b:Guid>
    <b:Author>
      <b:Author>
        <b:NameList>
          <b:Person>
            <b:Last>Dua</b:Last>
            <b:First>Dheeru</b:First>
          </b:Person>
          <b:Person>
            <b:Last>Graff</b:Last>
            <b:First>Casey</b:First>
          </b:Person>
        </b:NameList>
      </b:Author>
    </b:Author>
    <b:Title>UCI Machine Learning Repository [http://archive.ics.uci.edu/ml]</b:Title>
    <b:Year>2019</b:Year>
    <b:URL>http://archive.ics.uci.edu/ml</b:URL>
    <b:City>Irvine, CA</b:City>
    <b:Publisher>University of California, School of Information and Computer Science</b:Publisher>
    <b:RefOrder>14</b:RefOrder>
  </b:Source>
</b:Sources>
</file>

<file path=customXml/itemProps1.xml><?xml version="1.0" encoding="utf-8"?>
<ds:datastoreItem xmlns:ds="http://schemas.openxmlformats.org/officeDocument/2006/customXml" ds:itemID="{202F5C61-BA52-441C-8D80-95D2F0E02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1539</Words>
  <Characters>8468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luisestra</dc:creator>
  <cp:keywords/>
  <dc:description/>
  <cp:lastModifiedBy>Luis Carlos Padierna Garcia</cp:lastModifiedBy>
  <cp:revision>100</cp:revision>
  <cp:lastPrinted>2017-12-13T18:03:00Z</cp:lastPrinted>
  <dcterms:created xsi:type="dcterms:W3CDTF">2020-01-31T02:55:00Z</dcterms:created>
  <dcterms:modified xsi:type="dcterms:W3CDTF">2020-01-31T18:37:00Z</dcterms:modified>
</cp:coreProperties>
</file>