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left"/>
      </w:pPr>
      <w:r>
        <w:rPr>
          <w:rFonts w:ascii="Arial" w:cs="Arial" w:eastAsia="Arial" w:hAnsi="Arial"/>
          <w:b/>
          <w:bCs/>
          <w:color w:val="B87A1E"/>
          <w:sz w:val="22"/>
          <w:szCs w:val="22"/>
        </w:rPr>
        <w:t xml:space="preserve">GUIA TÉCNICO</w:t>
      </w:r>
    </w:p>
    <w:p>
      <w:pPr>
        <w:pBdr>
          <w:bottom w:val="single" w:color="1E2761" w:sz="18" w:space="10"/>
        </w:pBdr>
        <w:spacing w:after="160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Instalação e Administração</w:t>
      </w:r>
    </w:p>
    <w:p>
      <w:pPr>
        <w:spacing w:after="800"/>
      </w:pPr>
      <w:r>
        <w:rPr>
          <w:rFonts w:ascii="Arial" w:cs="Arial" w:eastAsia="Arial" w:hAnsi="Arial"/>
          <w:color w:val="212529"/>
          <w:sz w:val="26"/>
          <w:szCs w:val="26"/>
        </w:rPr>
        <w:t xml:space="preserve">A11y for Moodle — guia para equipes de TI e administradores do Moodle. Complementa a Documentação Executiva e o Manual do Usuário, que não trazem comandos técnicos por serem voltados a públicos não técnicos.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Instituição: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Universidade Federal de Pelotas (UFPel)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Unidade responsável: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CPTED — Coordenação de Políticas e Tecnologias para EaD, Gabinete da Vice-Reitoria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Público-alvo: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Equipes de TI e administradores do Moodle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Identificador técnico: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local_a11y · versão 1.0.0 · licença GPL v3 ou posterior</w:t>
      </w:r>
    </w:p>
    <w:p>
      <w:pPr>
        <w:spacing w:after="500"/>
      </w:pP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Controle de versão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1100"/>
        <w:gridCol w:w="1600"/>
        <w:gridCol w:w="4900"/>
        <w:gridCol w:w="1750"/>
      </w:tblGrid>
      <w:tr>
        <w:trPr>
          <w:cantSplit/>
        </w:trPr>
        <w:tc>
          <w:tcPr>
            <w:tcW w:type="dxa" w:w="11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9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7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1.0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03/09/2026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Primeira versão, elaborada a partir de verificação direta do código-fonte do plugin (settings.php, db/access.php, version.php, MAINTENANCE.md, README.md).</w:t>
            </w:r>
          </w:p>
        </w:tc>
        <w:tc>
          <w:tcPr>
            <w:tcW w:type="dxa" w:w="17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Rascunho para validação técnica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EEF3FC" w:sz="2"/>
          <w:left w:val="single" w:color="1E2761" w:sz="24"/>
          <w:bottom w:val="single" w:color="EEF3FC" w:sz="2"/>
          <w:right w:val="single" w:color="EEF3FC" w:sz="2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SOBRE ESTE 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Este documento foi elaborado a partir do material institucional consolidado do plugin (estudos, código-fonte, arquivos de idioma e exploração ao vivo do ambiente de demonstração). Trechos sem evidência suficiente estão sinalizados como "[INFORMAÇÃO A VALIDAR]" e devem ser confirmados pela equipe responsável antes da publicação oficial.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Sumário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1. Sobre este guia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2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2. Requisitos técnicos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2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3. Preparação pré-instalação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4. Instalação passo a passo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5. Configuração administrativa completa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6. Capabilities e permissões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7. Validação pós-implantação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8. Atualização e manutenção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9. Resposta a incidentes e reversão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10. Solução de problemas técnicos comuns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11. Onde encontrar mais informação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3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12. Fontes e referências</w:t>
      </w:r>
      <w:r>
        <w:rPr>
          <w:rFonts w:ascii="Arial" w:cs="Arial" w:eastAsia="Arial" w:hAnsi="Arial"/>
          <w:color w:val="5B6472"/>
          <w:sz w:val="20"/>
          <w:szCs w:val="20"/>
        </w:rPr>
        <w:t xml:space="preserve">	10</w:t>
      </w:r>
    </w:p>
    <w:p>
      <w:r>
        <w:br w:type="page"/>
      </w:r>
    </w:p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1. Sobre este guia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Este guia é destinado a equipes de TI e administradores do Moodle responsáveis por instalar, configurar e manter o plugin A11y for Moodle. Ele traz comandos, nomes técnicos de configuração e procedimentos operacionais que a Documentação Executiva e o Manual do Usuário deliberadamente não trazem, por serem voltados a públicos não técnicos.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Este guia não substitui a documentação técnica gerada automaticamente a partir do próprio código-fonte do plugin (Seção 11), que é a referência mais detalhada e a que mais rapidamente reflete mudanças futuras no código.</w:t>
      </w:r>
    </w:p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2. Requisitos técnicos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Versão do Moodle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Branch 502 (Moodle 5.2) — única versão efetivamente testada e confirmada em funcionamento.</w:t>
            </w:r>
          </w:p>
        </w:tc>
      </w:tr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Versão do PHP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8.2 ou superior. A integração contínua (CI) do projeto testa especificamente as versões 8.3 e 8.4.</w:t>
            </w:r>
          </w:p>
        </w:tc>
      </w:tr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CI testado contra PostgreSQL e MariaDB.</w:t>
            </w:r>
          </w:p>
        </w:tc>
      </w:tr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Espaço em disco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Aproximadamente 19 MB — o pacote cresceu de forma relevante após o modelo e o executável da biblioteca MediaPipe (usados pela Navegação por Face) passarem a ser empacotados localmente, em vez de carregados de um CDN externo.</w:t>
            </w:r>
          </w:p>
        </w:tc>
      </w:tr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Extensões PHP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pgsql, zip, gd, mysqli — usadas no workflow de referência de integração contínua do próprio projeto.</w:t>
            </w:r>
          </w:p>
        </w:tc>
      </w:tr>
      <w:tr>
        <w:trPr>
          <w:cantSplit/>
        </w:trPr>
        <w:tc>
          <w:tcPr>
            <w:tcW w:type="dxa" w:w="2600"/>
            <w:shd w:fill="EEF3FC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Permissões de arquivo</w:t>
            </w:r>
          </w:p>
        </w:tc>
        <w:tc>
          <w:tcPr>
            <w:tcW w:type="dxa" w:w="675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Padrão de plugins Moodle: leitura pelo usuário do servidor web sobre o diretório do plugin.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BEAEA" w:sz="2"/>
          <w:left w:val="single" w:color="AA3333" w:sz="24"/>
          <w:bottom w:val="single" w:color="FBEAEA" w:sz="2"/>
          <w:right w:val="single" w:color="FBEAEA" w:sz="2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BEA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A3333"/>
                <w:sz w:val="19"/>
                <w:szCs w:val="19"/>
              </w:rPr>
              <w:t xml:space="preserve">ATENÇÃO AO REQUISITO REAL DE VERSÃO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O plugin cita "Moodle 5.0 ou superior" em alguns pontos de forma ampla, mas o valor técnico configurado em version.php corresponde a uma build que a série 5.0 real do Moodle nunca alcança. Testes de integração contínua contra o núcleo oficial do Moodle 5.0 mostram que a instalação é recusada ("pluginrequirementsnotmet"). Antes de planejar a instalação, confirme que o ambiente-alvo roda efetivamente a branch 5.2.</w:t>
            </w:r>
          </w:p>
        </w:tc>
      </w:tr>
    </w:tbl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3. Preparação pré-instalação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Checklist antes de iniciar: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Confirmar a versão exata do Moodle em uso (Administração do site → Notificações, ou o valor de $CFG-&gt;version).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Confirmar a versão do PHP em uso no servidor.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Fazer backup do banco de dados e dos arquivos do Moodle antes de instalar qualquer plugin — prática padrão, não específica deste plugin.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Providenciar acesso de escrita ao diretório local/ do Moodle (ou public/local/, em instalações que já usam a nova estrutura de webroot introduzida a partir do Moodle 5.0).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Se a instituição já utiliza o plugin local_vlibras, ter isso em mente para a etapa de configuração de Integrações (Seção 5) — a instalação do A11y não exige o VLibras, mas pode integrar-se a ele se presente.</w:t>
      </w:r>
    </w:p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4. Instalação passo a passo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Passo 1 — Obter o pacote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Obtenha o arquivo local_a11y.zip, ou o código-fonte diretamente do repositório, junto à equipe responsável (CPTED).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Passo 2 — Extrair no diretório correto</w:t>
      </w:r>
    </w:p>
    <w:tbl>
      <w:tblPr>
        <w:tblW w:type="pct" w:w="100%"/>
        <w:tblBorders>
          <w:top w:val="single" w:color="3A3F4B" w:sz="4"/>
          <w:left w:val="single" w:color="3A3F4B" w:sz="4"/>
          <w:bottom w:val="single" w:color="3A3F4B" w:sz="4"/>
          <w:right w:val="single" w:color="3A3F4B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20242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# Layout clássico (instalações sem a nova estrutura public/)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unzip local_a11y.zip -d /caminho/para/moodle/local/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# Layout Moodle 5.0+ com webroot dentro de public/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unzip local_a11y.zip -d /caminho/para/moodle/public/local/</w:t>
            </w:r>
          </w:p>
        </w:tc>
      </w:tr>
    </w:tbl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 diretório resultante deve se chamar a11y, ficando em &lt;moodleroot&gt;/local/a11y (ou &lt;moodleroot&gt;/public/local/a11y, conforme o layout da instalação).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Passo 3 — Completar a instalação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Opção A — pela interface: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acesse Administração do site → Notificações. O Moodle detecta o plugin novo automaticamente e apresenta a tela padrão de instalação.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Opção B — por linha de comando: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/>
      </w:r>
    </w:p>
    <w:tbl>
      <w:tblPr>
        <w:tblW w:type="pct" w:w="100%"/>
        <w:tblBorders>
          <w:top w:val="single" w:color="3A3F4B" w:sz="4"/>
          <w:left w:val="single" w:color="3A3F4B" w:sz="4"/>
          <w:bottom w:val="single" w:color="3A3F4B" w:sz="4"/>
          <w:right w:val="single" w:color="3A3F4B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20242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php admin/cli/upgrade.php --non-interactive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Passo 4 — Confirmar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 botão de acessibilidade deve aparecer em qualquer página do Moodle, para qualquer pessoa usuária — inclusive visitantes não autenticados, por padrão (configurável na Seção 5).</w:t>
      </w:r>
    </w:p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5. Configuração administrativa completa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Caminho: Administração do site → Plugins → Plugins locais → Acessibilidade (A11y). As configurações estão organizadas em até cinco grupos — o de Integrações só aparece se o plugin local_vlibras estiver instalado.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Geral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700"/>
        <w:gridCol w:w="2100"/>
        <w:gridCol w:w="4550"/>
      </w:tblGrid>
      <w:tr>
        <w:trPr>
          <w:cantSplit/>
        </w:trPr>
        <w:tc>
          <w:tcPr>
            <w:tcW w:type="dxa" w:w="27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1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· padrão</w:t>
            </w:r>
          </w:p>
        </w:tc>
        <w:tc>
          <w:tcPr>
            <w:tcW w:type="dxa" w:w="45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local_a11y/enabled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Checkbox · ativado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Ativa/desativa o botão e o painel em todo o site.</w:t>
            </w:r>
          </w:p>
        </w:tc>
      </w:tr>
      <w:tr>
        <w:trPr>
          <w:cantSplit/>
        </w:trPr>
        <w:tc>
          <w:tcPr>
            <w:tcW w:type="dxa" w:w="27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local_a11y/showforguests</w:t>
            </w:r>
          </w:p>
        </w:tc>
        <w:tc>
          <w:tcPr>
            <w:tcW w:type="dxa" w:w="21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Checkbox · ativado</w:t>
            </w:r>
          </w:p>
        </w:tc>
        <w:tc>
          <w:tcPr>
            <w:tcW w:type="dxa" w:w="45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Exibe o botão para usuários não autenticados.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local_a11y/excludedpages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Textarea · vazio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Um padrão de URL por linha (aceita * como coringa); o plugin não carrega nas páginas correspondentes.</w:t>
            </w:r>
          </w:p>
        </w:tc>
      </w:tr>
      <w:tr>
        <w:trPr>
          <w:cantSplit/>
        </w:trPr>
        <w:tc>
          <w:tcPr>
            <w:tcW w:type="dxa" w:w="27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local_a11y/enabledfeatures</w:t>
            </w:r>
          </w:p>
        </w:tc>
        <w:tc>
          <w:tcPr>
            <w:tcW w:type="dxa" w:w="21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Multicheckbox · todas ativadas</w:t>
            </w:r>
          </w:p>
        </w:tc>
        <w:tc>
          <w:tcPr>
            <w:tcW w:type="dxa" w:w="45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Escolhe quais opções de acessibilidade ficam disponíveis às pessoas usuárias.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Integrações (condicional a local_vlibras estar instalado)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700"/>
        <w:gridCol w:w="2100"/>
        <w:gridCol w:w="4550"/>
      </w:tblGrid>
      <w:tr>
        <w:trPr>
          <w:cantSplit/>
        </w:trPr>
        <w:tc>
          <w:tcPr>
            <w:tcW w:type="dxa" w:w="27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1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· padrão</w:t>
            </w:r>
          </w:p>
        </w:tc>
        <w:tc>
          <w:tcPr>
            <w:tcW w:type="dxa" w:w="45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local_a11y/integratevlibras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Checkbox · desativado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Quando ativado, oculta visualmente o botão próprio do VLibras e move o acesso para a opção "Libras (VLibras)" deste plugin. O script do VLibras continua carregando normalmente — só a exibição do botão muda.</w:t>
            </w:r>
          </w:p>
        </w:tc>
      </w:tr>
    </w:tbl>
    <w:tbl>
      <w:tblPr>
        <w:tblW w:type="pct" w:w="100%"/>
        <w:tblBorders>
          <w:top w:val="single" w:color="EEF3FC" w:sz="2"/>
          <w:left w:val="single" w:color="1E2761" w:sz="24"/>
          <w:bottom w:val="single" w:color="EEF3FC" w:sz="2"/>
          <w:right w:val="single" w:color="EEF3FC" w:sz="2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OBSERVAÇÃO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 o VLibras estiver instalado e ativo, mas esta integração estiver desligada, o painel de administração exibe um aviso de possível sobreposição visual entre o botão do VLibras e o botão deste plugin, quando as posições configuradas de cada um coincidirem.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Botão Flutuante (FAB)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700"/>
        <w:gridCol w:w="2100"/>
        <w:gridCol w:w="4550"/>
      </w:tblGrid>
      <w:tr>
        <w:trPr>
          <w:cantSplit/>
        </w:trPr>
        <w:tc>
          <w:tcPr>
            <w:tcW w:type="dxa" w:w="27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1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· padrão</w:t>
            </w:r>
          </w:p>
        </w:tc>
        <w:tc>
          <w:tcPr>
            <w:tcW w:type="dxa" w:w="45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local_a11y/fabposition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Select · bottom-right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Canto da tela: bottom-right, bottom-left, middle-right ou middle-left.</w:t>
            </w:r>
          </w:p>
        </w:tc>
      </w:tr>
      <w:tr>
        <w:trPr>
          <w:cantSplit/>
        </w:trPr>
        <w:tc>
          <w:tcPr>
            <w:tcW w:type="dxa" w:w="27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local_a11y/fabicon</w:t>
            </w:r>
          </w:p>
        </w:tc>
        <w:tc>
          <w:tcPr>
            <w:tcW w:type="dxa" w:w="21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Select · default</w:t>
            </w:r>
          </w:p>
        </w:tc>
        <w:tc>
          <w:tcPr>
            <w:tcW w:type="dxa" w:w="45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Ícone do botão: default (ícone próprio, Ionicons) ou un (ícone de acessibilidade da ONU).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local_a11y/fabshape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Select · circle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Formato do botão: circle ou square.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Painel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700"/>
        <w:gridCol w:w="2100"/>
        <w:gridCol w:w="4550"/>
      </w:tblGrid>
      <w:tr>
        <w:trPr>
          <w:cantSplit/>
        </w:trPr>
        <w:tc>
          <w:tcPr>
            <w:tcW w:type="dxa" w:w="27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1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· padrão</w:t>
            </w:r>
          </w:p>
        </w:tc>
        <w:tc>
          <w:tcPr>
            <w:tcW w:type="dxa" w:w="45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local_a11y/panelformat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Select · popover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Formato em telas de desktop: popover, drawer ou modal. Em celulares e tablets pequenos, sempre abre como drawer, independentemente deste valor.</w:t>
            </w:r>
          </w:p>
        </w:tc>
      </w:tr>
      <w:tr>
        <w:trPr>
          <w:cantSplit/>
        </w:trPr>
        <w:tc>
          <w:tcPr>
            <w:tcW w:type="dxa" w:w="27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local_a11y/density</w:t>
            </w:r>
          </w:p>
        </w:tc>
        <w:tc>
          <w:tcPr>
            <w:tcW w:type="dxa" w:w="21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Select · regular</w:t>
            </w:r>
          </w:p>
        </w:tc>
        <w:tc>
          <w:tcPr>
            <w:tcW w:type="dxa" w:w="45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Densidade visual das linhas de opção: compact, regular ou comfortable.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local_a11y/showprofiles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Checkbox · ativado</w:t>
            </w:r>
          </w:p>
        </w:tc>
        <w:tc>
          <w:tcPr>
            <w:tcW w:type="dxa" w:w="4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Exibe a seção de perfis prontos no painel.</w:t>
            </w:r>
          </w:p>
        </w:tc>
      </w:tr>
      <w:tr>
        <w:trPr>
          <w:cantSplit/>
        </w:trPr>
        <w:tc>
          <w:tcPr>
            <w:tcW w:type="dxa" w:w="27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local_a11y/footertext</w:t>
            </w:r>
          </w:p>
        </w:tc>
        <w:tc>
          <w:tcPr>
            <w:tcW w:type="dxa" w:w="21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Editor HTML · vazio</w:t>
            </w:r>
          </w:p>
        </w:tc>
        <w:tc>
          <w:tcPr>
            <w:tcW w:type="dxa" w:w="45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Texto customizado no rodapé do painel. Vazio usa a mensagem padrão: "Desenvolvido com ❤️ pela UFPel, para você."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1B49"/>
          <w:sz w:val="22"/>
          <w:szCs w:val="22"/>
        </w:rPr>
        <w:t xml:space="preserve">Cores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3400"/>
        <w:gridCol w:w="1800"/>
        <w:gridCol w:w="4150"/>
      </w:tblGrid>
      <w:tr>
        <w:trPr>
          <w:cantSplit/>
        </w:trPr>
        <w:tc>
          <w:tcPr>
            <w:tcW w:type="dxa" w:w="34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18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41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colore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local_a11y/accent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#3b82f6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Cor de acento do botão e do painel.</w:t>
            </w:r>
          </w:p>
        </w:tc>
      </w:tr>
      <w:tr>
        <w:trPr>
          <w:cantSplit/>
        </w:trPr>
        <w:tc>
          <w:tcPr>
            <w:tcW w:type="dxa" w:w="34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local_a11y/highlighttitlescolor</w:t>
            </w:r>
          </w:p>
        </w:tc>
        <w:tc>
          <w:tcPr>
            <w:tcW w:type="dxa" w:w="18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#eab308</w:t>
            </w:r>
          </w:p>
        </w:tc>
        <w:tc>
          <w:tcPr>
            <w:tcW w:type="dxa" w:w="41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Cor usada por "Destacar Títulos".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local_a11y/highlightlinkscolor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#3b82f6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Cor usada por "Destacar Links".</w:t>
            </w:r>
          </w:p>
        </w:tc>
      </w:tr>
      <w:tr>
        <w:trPr>
          <w:cantSplit/>
        </w:trPr>
        <w:tc>
          <w:tcPr>
            <w:tcW w:type="dxa" w:w="34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local_a11y/highlightbuttonscolor</w:t>
            </w:r>
          </w:p>
        </w:tc>
        <w:tc>
          <w:tcPr>
            <w:tcW w:type="dxa" w:w="18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#f97316</w:t>
            </w:r>
          </w:p>
        </w:tc>
        <w:tc>
          <w:tcPr>
            <w:tcW w:type="dxa" w:w="41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Cor usada por "Destacar Botões".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local_a11y/readingguidecolor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#3b82f6</w:t>
            </w:r>
          </w:p>
        </w:tc>
        <w:tc>
          <w:tcPr>
            <w:tcW w:type="dxa" w:w="41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Cor da linha usada por "Guia de Leitura".</w:t>
            </w:r>
          </w:p>
        </w:tc>
      </w:tr>
    </w:tbl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6. Capabilities e permissões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 plugin define uma única capability:</w:t>
      </w:r>
    </w:p>
    <w:tbl>
      <w:tblPr>
        <w:tblW w:type="pct" w:w="100%"/>
        <w:tblBorders>
          <w:top w:val="single" w:color="3A3F4B" w:sz="4"/>
          <w:left w:val="single" w:color="3A3F4B" w:sz="4"/>
          <w:bottom w:val="single" w:color="3A3F4B" w:sz="4"/>
          <w:right w:val="single" w:color="3A3F4B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20242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local/a11y:view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 captype: read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 contextlevel: CONTEXT_SYSTEM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 archetypes: guest, user, frontpage, student, teacher, editingteacher, manager — todos CAP_ALLOW por padrão</w:t>
            </w:r>
          </w:p>
        </w:tc>
      </w:tr>
    </w:tbl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Não existe capability própria de configuração — a tela de administração (settings.php) é protegida pelo mecanismo padrão do Moodle para configurações de site (moodle/site:config), como qualquer outro plugin.</w:t>
      </w:r>
    </w:p>
    <w:tbl>
      <w:tblPr>
        <w:tblW w:type="pct" w:w="100%"/>
        <w:tblBorders>
          <w:top w:val="single" w:color="EEF3FC" w:sz="2"/>
          <w:left w:val="single" w:color="1E2761" w:sz="24"/>
          <w:bottom w:val="single" w:color="EEF3FC" w:sz="2"/>
          <w:right w:val="single" w:color="EEF3FC" w:sz="2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OBSERVAÇÃO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Uma capability local/a11y:configure existiu em versões anteriores do plugin, mas foi removida após uma auditoria de segurança e código morto constatar que ela nunca era, de fato, verificada em nenhum lugar do código — atribuí-la a um perfil não tinha efeito algum.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7. Validação pós-implantação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Checklist sugerido após instalar ou atualizar: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 botão de acessibilidade aparece em uma página de curso, tanto logado quanto deslogado (se showforguests estiver ativado).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Um perfil e uma opção individual aplicam corretamente ao serem selecionados.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A preferência persiste após recarregar a página (F5).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Para um usuário autenticado: a preferência persiste após logout e login novamente.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Se a instituição integra o VLibras: testar especificamente a opção "Libras (VLibras)".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Testar em ao menos um navegador baseado em Chromium (para Comandos por Voz) e confirmar que outros navegadores exibem a mensagem de indisponibilidade, em vez de falhar silenciosamente.</w:t>
      </w:r>
    </w:p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8. Atualização e manutenção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Para aplicar uma nova versão: substitua os arquivos do plugin pela versão nova e repita a Seção 4, Passo 3 (Administração do site → Notificações, ou o comando de upgrade via CLI).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Comandos úteis para quem for alterar o código-fonte do plugin:</w:t>
      </w:r>
    </w:p>
    <w:tbl>
      <w:tblPr>
        <w:tblW w:type="pct" w:w="100%"/>
        <w:tblBorders>
          <w:top w:val="single" w:color="3A3F4B" w:sz="4"/>
          <w:left w:val="single" w:color="3A3F4B" w:sz="4"/>
          <w:bottom w:val="single" w:color="3A3F4B" w:sz="4"/>
          <w:right w:val="single" w:color="3A3F4B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20242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# Recompilar os módulos JavaScript (AMD) após editar amd/src/*.js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npx grunt amd --root=local/a11y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# Rodar a suíte de testes automatizados (PHPUnit)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vendor/bin/phpunit --configuration local/a11y/phpunit.xml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# Rodar os testes de comportamento (Behat), com tag do plugin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8EAED"/>
                <w:sz w:val="19"/>
                <w:szCs w:val="19"/>
              </w:rPr>
              <w:t xml:space="preserve">vendor/bin/behat --tags="@local_a11y"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9. Resposta a incidentes e reversão</w:t>
      </w:r>
    </w:p>
    <w:p>
      <w:pPr>
        <w:spacing w:after="1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Procedimento documentado no próprio repositório do plugin (MAINTENANCE.md):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Passo 1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Desativar sem remover código: </w:t>
      </w:r>
      <w:r>
        <w:rPr>
          <w:rFonts w:ascii="Arial" w:cs="Arial" w:eastAsia="Arial" w:hAnsi="Arial"/>
          <w:sz w:val="22"/>
          <w:szCs w:val="22"/>
        </w:rPr>
        <w:t xml:space="preserve">Administração do site → Plugins → Plugins locais → A11Y for Moodle → Desativar (ou, via CLI, ajustar a configuração local_a11y/enabled). Reversível instantaneamente, sem tocar em arquivos.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Passo 2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 a causa for uma mudança de código recente: </w:t>
      </w:r>
      <w:r>
        <w:rPr>
          <w:rFonts w:ascii="Arial" w:cs="Arial" w:eastAsia="Arial" w:hAnsi="Arial"/>
          <w:sz w:val="22"/>
          <w:szCs w:val="22"/>
        </w:rPr>
        <w:t xml:space="preserve">reverter para o commit anterior no repositório (git revert do commit problemático — não git reset --hard, para preservar o histórico) e reimplantar o diretório local/a11y a partir dele.</w:t>
      </w:r>
    </w:p>
    <w:p>
      <w:pPr>
        <w:spacing w:after="80"/>
      </w:pPr>
    </w:p>
    <w:tbl>
      <w:tblPr>
        <w:tblW w:type="pct" w:w="100%"/>
        <w:tblBorders>
          <w:top w:val="single" w:color="FBEAEA" w:sz="2"/>
          <w:left w:val="single" w:color="AA3333" w:sz="24"/>
          <w:bottom w:val="single" w:color="FBEAEA" w:sz="2"/>
          <w:right w:val="single" w:color="FBEAEA" w:sz="2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BEA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A3333"/>
                <w:sz w:val="19"/>
                <w:szCs w:val="19"/>
              </w:rPr>
              <w:t xml:space="preserve">LIMITAÇÃO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Não existe hoje um ambiente de homologação separado do ambiente de produção para este plugin — risco já registrado no Plano de Continuidade e Sucessão Técnica. Redobre a cautela ao testar qualquer mudança diretamente em produção, e considere testar primeiro em um curso de uso restrito antes de expor a mudança a toda a instituição.</w:t>
            </w:r>
          </w:p>
        </w:tc>
      </w:tr>
    </w:tbl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10. Solução de problemas técnicos comuns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650"/>
        <w:gridCol w:w="3450"/>
        <w:gridCol w:w="3250"/>
      </w:tblGrid>
      <w:tr>
        <w:trPr>
          <w:cantSplit/>
        </w:trPr>
        <w:tc>
          <w:tcPr>
            <w:tcW w:type="dxa" w:w="26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técnico</w:t>
            </w:r>
          </w:p>
        </w:tc>
        <w:tc>
          <w:tcPr>
            <w:tcW w:type="dxa" w:w="34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possível</w:t>
            </w:r>
          </w:p>
        </w:tc>
        <w:tc>
          <w:tcPr>
            <w:tcW w:type="dxa" w:w="32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Plugin não aparece após a instalação</w:t>
            </w:r>
          </w:p>
        </w:tc>
        <w:tc>
          <w:tcPr>
            <w:tcW w:type="dxa" w:w="34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Cache do Moodle desatualizado.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Purgar todos os caches: Administração do site → Desenvolvimento → Purgar caches.</w:t>
            </w:r>
          </w:p>
        </w:tc>
      </w:tr>
      <w:tr>
        <w:trPr>
          <w:cantSplit/>
        </w:trPr>
        <w:tc>
          <w:tcPr>
            <w:tcW w:type="dxa" w:w="26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Erro "pluginrequirementsnotmet" durante a instalação</w:t>
            </w:r>
          </w:p>
        </w:tc>
        <w:tc>
          <w:tcPr>
            <w:tcW w:type="dxa" w:w="34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Versão do Moodle abaixo da exigida — inclusive a série 5.0 real.</w:t>
            </w:r>
          </w:p>
        </w:tc>
        <w:tc>
          <w:tcPr>
            <w:tcW w:type="dxa" w:w="32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Confirmar que a instância roda especificamente a branch 5.2 (ver Seção 2).</w:t>
            </w:r>
          </w:p>
        </w:tc>
      </w:tr>
      <w:tr>
        <w:trPr>
          <w:cantSplit/>
        </w:trPr>
        <w:tc>
          <w:tcPr>
            <w:tcW w:type="dxa" w:w="2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Opção "Libras (VLibras)" não aparece, mesmo com o VLibras instalado</w:t>
            </w:r>
          </w:p>
        </w:tc>
        <w:tc>
          <w:tcPr>
            <w:tcW w:type="dxa" w:w="34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Integração não ativada nas configurações deste plugin.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Ativar local_a11y/integratevlibras em Configurações → Integrações (Seção 5).</w:t>
            </w:r>
          </w:p>
        </w:tc>
      </w:tr>
      <w:tr>
        <w:trPr>
          <w:cantSplit/>
        </w:trPr>
        <w:tc>
          <w:tcPr>
            <w:tcW w:type="dxa" w:w="26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Botões do VLibras e do A11y sobrepostos visualmente</w:t>
            </w:r>
          </w:p>
        </w:tc>
        <w:tc>
          <w:tcPr>
            <w:tcW w:type="dxa" w:w="34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Posições configuradas coincidentes, com a integração desligada.</w:t>
            </w:r>
          </w:p>
        </w:tc>
        <w:tc>
          <w:tcPr>
            <w:tcW w:type="dxa" w:w="32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Ativar a integração (oculta o botão nativo do VLibras), ou ajustar a posição de um dos dois.</w:t>
            </w:r>
          </w:p>
        </w:tc>
      </w:tr>
      <w:tr>
        <w:trPr>
          <w:cantSplit/>
        </w:trPr>
        <w:tc>
          <w:tcPr>
            <w:tcW w:type="dxa" w:w="2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Ícone ou cor customizados não aplicam</w:t>
            </w:r>
          </w:p>
        </w:tc>
        <w:tc>
          <w:tcPr>
            <w:tcW w:type="dxa" w:w="34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Cache de CSS do Moodle.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Purgar caches; confirmar formato hexadecimal válido no campo de cor.</w:t>
            </w:r>
          </w:p>
        </w:tc>
      </w:tr>
      <w:tr>
        <w:trPr>
          <w:cantSplit/>
        </w:trPr>
        <w:tc>
          <w:tcPr>
            <w:tcW w:type="dxa" w:w="26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Comandos por Voz não funciona em um navegador específico</w:t>
            </w:r>
          </w:p>
        </w:tc>
        <w:tc>
          <w:tcPr>
            <w:tcW w:type="dxa" w:w="34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Reconhecimento de voz via Web Speech API disponível apenas em navegadores baseados em Chromium.</w:t>
            </w:r>
          </w:p>
        </w:tc>
        <w:tc>
          <w:tcPr>
            <w:tcW w:type="dxa" w:w="32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Esperado — o plugin já detecta e avisa a indisponibilidade; testar em navegador Chromium para confirmar que a função em si funciona.</w:t>
            </w:r>
          </w:p>
        </w:tc>
      </w:tr>
    </w:tbl>
    <w:p>
      <w:pPr>
        <w:pStyle w:val="Heading1"/>
        <w:pageBreakBefore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11. Onde encontrar mais informação</w:t>
      </w:r>
    </w:p>
    <w:tbl>
      <w:tblPr>
        <w:tblW w:type="pct" w:w="100%"/>
        <w:tblBorders>
          <w:top w:val="single" w:color="D6D9DE" w:sz="4"/>
          <w:left w:val="single" w:color="D6D9DE" w:sz="4"/>
          <w:bottom w:val="single" w:color="D6D9DE" w:sz="4"/>
          <w:right w:val="single" w:color="D6D9DE" w:sz="4"/>
          <w:insideH w:val="single" w:color="D6D9DE" w:sz="4"/>
          <w:insideV w:val="single" w:color="D6D9DE" w:sz="4"/>
        </w:tblBorders>
      </w:tblPr>
      <w:tblGrid>
        <w:gridCol w:w="2600"/>
        <w:gridCol w:w="6750"/>
      </w:tblGrid>
      <w:tr>
        <w:trPr>
          <w:cantSplit/>
        </w:trPr>
        <w:tc>
          <w:tcPr>
            <w:tcW w:type="dxa" w:w="260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6750"/>
            <w:shd w:fill="1E276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Cobre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docs/api-php (phpDocumentor)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Classes, métodos e parâmetros do back-end em PHP — classes/, lib.php, settings.php, version.php, db/, lang/.</w:t>
            </w:r>
          </w:p>
        </w:tc>
      </w:tr>
      <w:tr>
        <w:trPr>
          <w:cantSplit/>
        </w:trPr>
        <w:tc>
          <w:tcPr>
            <w:tcW w:type="dxa" w:w="26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docs/api-js (JSDoc)</w:t>
            </w:r>
          </w:p>
        </w:tc>
        <w:tc>
          <w:tcPr>
            <w:tcW w:type="dxa" w:w="67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Todos os módulos AMD (JavaScript) e suas funções, exportadas e internas.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docs/styleguide (KSS)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Tokens de design, componentes do botão/painel, efeitos de página e filtros de cor do CSS.</w:t>
            </w:r>
          </w:p>
        </w:tc>
      </w:tr>
      <w:tr>
        <w:trPr>
          <w:cantSplit/>
        </w:trPr>
        <w:tc>
          <w:tcPr>
            <w:tcW w:type="dxa" w:w="26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docs/templates.md</w:t>
            </w:r>
          </w:p>
        </w:tc>
        <w:tc>
          <w:tcPr>
            <w:tcW w:type="dxa" w:w="67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Variáveis de contexto de cada template Mustache usado pelo plugin.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DECISIONS.md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Histórico de decisões técnicas de arquitetura, uma a uma, com o raciocínio por trás de cada uma.</w:t>
            </w:r>
          </w:p>
        </w:tc>
      </w:tr>
      <w:tr>
        <w:trPr>
          <w:cantSplit/>
        </w:trPr>
        <w:tc>
          <w:tcPr>
            <w:tcW w:type="dxa" w:w="260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CONTRIBUTING.md</w:t>
            </w:r>
          </w:p>
        </w:tc>
        <w:tc>
          <w:tcPr>
            <w:tcW w:type="dxa" w:w="6750"/>
            <w:shd w:fill="F5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Diretrizes para quem for contribuir com o código do plugin.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MAINTENANCE.md</w:t>
            </w:r>
          </w:p>
        </w:tc>
        <w:tc>
          <w:tcPr>
            <w:tcW w:type="dxa" w:w="67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Procedimentos de manutenção, incluindo resposta a incidentes (Seção 9 deste guia).</w:t>
            </w:r>
          </w:p>
        </w:tc>
      </w:tr>
    </w:tbl>
    <w:p>
      <w:pPr>
        <w:pStyle w:val="Heading1"/>
        <w:pBdr>
          <w:bottom w:val="single" w:color="1E2761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12. Fontes e referências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Código-fonte do plugin: settings.php, db/access.php, version.php, classes/integration/vlibras.php.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README.md e docs/README.md, no repositório do plugin.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MAINTENANCE.md, no repositório do plugin.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Documentação Executiva — A11y for Moodle, Seções 11 e 12.</w:t>
      </w:r>
    </w:p>
    <w:p>
      <w:pPr>
        <w:spacing w:after="200"/>
      </w:pP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Guia elaborado a partir de verificação direta do código-fonte do plugin. Sujeito a revisão pela equipe técnica antes de sua adoção como procedimento oficial.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6" w:sz="4" w:space="4"/>
      </w:pBdr>
      <w:tabs>
        <w:tab w:val="center" w:pos="4677"/>
        <w:tab w:val="right" w:pos="9026"/>
      </w:tabs>
    </w:pPr>
    <w:r>
      <w:rPr>
        <w:rFonts w:ascii="Arial" w:cs="Arial" w:eastAsia="Arial" w:hAnsi="Arial"/>
        <w:color w:val="5B6472"/>
        <w:sz w:val="16"/>
        <w:szCs w:val="16"/>
      </w:rPr>
      <w:t xml:space="preserve">Versão 1.0 · 03 de setembro de 2026</w:t>
    </w:r>
    <w:r>
      <w:rPr>
        <w:rFonts w:ascii="Arial" w:cs="Arial" w:eastAsia="Arial" w:hAnsi="Arial"/>
        <w:color w:val="5B6472"/>
        <w:sz w:val="16"/>
        <w:szCs w:val="16"/>
      </w:rPr>
      <w:t xml:space="preserve">	CPTED — UFPel</w:t>
    </w:r>
    <w:r>
      <w:rPr>
        <w:rFonts w:ascii="Arial" w:cs="Arial" w:eastAsia="Arial" w:hAnsi="Arial"/>
        <w:color w:val="5B6472"/>
        <w:sz w:val="16"/>
        <w:szCs w:val="16"/>
      </w:rPr>
      <w:t xml:space="preserve">	Página </w:t>
    </w:r>
    <w:r>
      <w:rPr>
        <w:rFonts w:ascii="Arial" w:cs="Arial" w:eastAsia="Arial" w:hAnsi="Arial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2761"/>
        <w:sz w:val="16"/>
        <w:szCs w:val="16"/>
      </w:rPr>
      <w:t xml:space="preserve">A11y for Moodle</w:t>
    </w:r>
    <w:r>
      <w:rPr>
        <w:rFonts w:ascii="Arial" w:cs="Arial" w:eastAsia="Arial" w:hAnsi="Arial"/>
        <w:color w:val="5B6472"/>
        <w:sz w:val="16"/>
        <w:szCs w:val="16"/>
      </w:rPr>
      <w:t xml:space="preserve">	Guia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Técnico de Instalação e Administração — A11y for Moodle</dc:title>
  <dc:creator>CPTED — UFPel</dc:creator>
  <cp:lastModifiedBy>Un-named</cp:lastModifiedBy>
  <cp:revision>1</cp:revision>
  <dcterms:created xsi:type="dcterms:W3CDTF">2026-09-03T19:59:16.828Z</dcterms:created>
  <dcterms:modified xsi:type="dcterms:W3CDTF">2026-09-03T19:59:16.829Z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