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13.xml" ContentType="application/vnd.ms-office.chartcolorstyle+xml"/>
  <Override PartName="/word/charts/colors14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13.xml" ContentType="application/vnd.ms-office.chartstyle+xml"/>
  <Override PartName="/word/charts/style14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sz w:val="2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2017年4月</w:t>
      </w:r>
      <w:r>
        <w:rPr>
          <w:rFonts w:hint="eastAsia" w:ascii="黑体" w:hAnsi="黑体" w:eastAsia="黑体" w:cs="黑体"/>
          <w:sz w:val="28"/>
          <w:szCs w:val="18"/>
          <w:lang w:eastAsia="zh-CN"/>
        </w:rPr>
        <w:t>中移互联网公司</w:t>
      </w:r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CDN服务月报</w:t>
      </w:r>
    </w:p>
    <w:p>
      <w:pPr>
        <w:jc w:val="right"/>
        <w:rPr>
          <w:rFonts w:hint="eastAsia" w:ascii="方正姚体" w:hAnsi="方正姚体" w:eastAsia="方正姚体" w:cs="方正姚体"/>
          <w:lang w:val="en-US" w:eastAsia="zh-CN"/>
        </w:rPr>
      </w:pPr>
      <w:r>
        <w:rPr>
          <w:rFonts w:hint="eastAsia" w:ascii="方正姚体" w:hAnsi="方正姚体" w:eastAsia="方正姚体" w:cs="方正姚体"/>
          <w:sz w:val="28"/>
          <w:szCs w:val="18"/>
          <w:lang w:val="en-US" w:eastAsia="zh-CN"/>
        </w:rPr>
        <w:t>2017.4.1——2017.4.31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227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一、本月CDN服务总体月况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1、域名列表</w:t>
      </w:r>
    </w:p>
    <w:tbl>
      <w:tblPr>
        <w:tblStyle w:val="11"/>
        <w:tblpPr w:leftFromText="180" w:rightFromText="180" w:vertAnchor="text" w:horzAnchor="page" w:tblpX="1936" w:tblpY="133"/>
        <w:tblOverlap w:val="never"/>
        <w:tblW w:w="7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7"/>
        <w:gridCol w:w="2648"/>
        <w:gridCol w:w="25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794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姚体" w:hAnsi="方正姚体" w:eastAsia="方正姚体" w:cs="方正姚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融合通信事业部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i-imgh.fetionpic.com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manor.fetionpic.com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redbag.rcscdn.fetionpic.com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auto" w:sz="4" w:space="0"/>
              <w:left w:val="nil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i-js.fetionpic.com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minisite.fetionpic.com</w:t>
            </w:r>
          </w:p>
        </w:tc>
        <w:tc>
          <w:tcPr>
            <w:tcW w:w="255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pa.rcscdn.fetionpic.com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imgh.fetionpic.com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show.fetionpic.com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circle.rcscdn.fetionpic.com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imgl.fetionpic.com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showshare.fetionpic.com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downloadM.fetion-portal.com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imgs.fetionpic.com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space.fetionpic.com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download.fetion-portal.com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i-res.fetionpic.com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emshop.rcscdn.fetionpic.com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liveupdate.fetion-portal.com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dlrcs.fetion-portal.com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portrait.rcscdn.fetionpic.com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right w:val="nil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download2.fetion-portal.com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download.fetiononline.com</w:t>
            </w:r>
          </w:p>
        </w:tc>
        <w:tc>
          <w:tcPr>
            <w:tcW w:w="5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LiveupdateRCS.fetion-portal.com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7940" w:type="dxa"/>
            <w:gridSpan w:val="3"/>
            <w:tcBorders>
              <w:left w:val="nil"/>
              <w:right w:val="nil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姚体" w:hAnsi="方正姚体" w:eastAsia="方正姚体" w:cs="方正姚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应用商城事业部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devatt.mmarket.com       </w:t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INCLUDEPICTURE \d "C:\\Users\\admin\\AppData\\Local\\Temp\\ksohtml\\clip_image2.png" \* MERGEFORMATINET </w:instrText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295275"/>
                  <wp:effectExtent l="0" t="0" r="0" b="0"/>
                  <wp:docPr id="27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u5.mm-img.mmarket.com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cdnpcapk.mmarket.com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up.ap.mm-img.mmarket.com</w:t>
            </w:r>
          </w:p>
        </w:tc>
        <w:tc>
          <w:tcPr>
            <w:tcW w:w="26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vbimg.mmarket.com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和生活域名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download.i139.cn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devfile.mmarket.com </w:t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INCLUDEPICTURE \d "C:\\Users\\admin\\AppData\\Local\\Temp\\ksohtml\\clip_image3.png" \* MERGEFORMATINET </w:instrText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drawing>
                <wp:inline distT="0" distB="0" distL="114300" distR="114300">
                  <wp:extent cx="314325" cy="304800"/>
                  <wp:effectExtent l="0" t="0" r="0" b="0"/>
                  <wp:docPr id="28" name="图片 7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7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ac.wxcs.cn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apk.mmarket.com</w:t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INCLUDEPICTURE \d "C:\\Users\\admin\\AppData\\Local\\Temp\\ksohtml\\clip_image5.png" \* MERGEFORMATINET </w:instrText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295275"/>
                  <wp:effectExtent l="0" t="0" r="0" b="0"/>
                  <wp:docPr id="29" name="图片 8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8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odpnj.mmarket.com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*.wxcs.cn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apk1.mmarket.com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odp.mmarket.com  </w:t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instrText xml:space="preserve">INCLUDEPICTURE \d "C:\\Users\\admin\\AppData\\Local\\Temp\\ksohtml\\clip_image4.png" \* MERGEFORMATINET </w:instrText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separate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drawing>
                <wp:inline distT="0" distB="0" distL="114300" distR="114300">
                  <wp:extent cx="304800" cy="342900"/>
                  <wp:effectExtent l="0" t="0" r="0" b="0"/>
                  <wp:docPr id="30" name="图片 9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9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*.wap.wxcs.cn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a1.mmarket.com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i1.mm-img.mmarket.com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MM门户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zjw.mmarket.com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up.mmarket.com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a.10086.cn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apkopen.mmarket.com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res1.mmarket.com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apps.cmdc.cc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left w:val="nil"/>
              <w:bottom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rs.base.mmarket.com</w:t>
            </w:r>
          </w:p>
        </w:tc>
        <w:tc>
          <w:tcPr>
            <w:tcW w:w="2648" w:type="dxa"/>
            <w:shd w:val="clear" w:color="auto" w:fill="auto"/>
            <w:vAlign w:val="top"/>
          </w:tcPr>
          <w:p>
            <w:pPr>
              <w:rPr>
                <w:rFonts w:hint="eastAsia" w:ascii="方正姚体" w:hAnsi="方正姚体" w:eastAsia="方正姚体" w:cs="方正姚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555" w:type="dxa"/>
            <w:tcBorders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方正姚体" w:hAnsi="方正姚体" w:eastAsia="方正姚体" w:cs="方正姚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7940" w:type="dxa"/>
            <w:gridSpan w:val="3"/>
            <w:tcBorders>
              <w:left w:val="nil"/>
              <w:right w:val="nil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姚体" w:hAnsi="方正姚体" w:eastAsia="方正姚体" w:cs="方正姚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云事业部域名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caiyun.feixin.10086.cn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mrp.weibo.10086.cn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caiyun.dnion.com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huodong.caiyun.feixin.10086.cn</w:t>
            </w:r>
          </w:p>
        </w:tc>
        <w:tc>
          <w:tcPr>
            <w:tcW w:w="2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fun.mail.10086.cn </w:t>
            </w:r>
          </w:p>
        </w:tc>
        <w:tc>
          <w:tcPr>
            <w:tcW w:w="2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res.zone139.com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image0.139cm.com </w:t>
            </w:r>
          </w:p>
        </w:tc>
        <w:tc>
          <w:tcPr>
            <w:tcW w:w="5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images.139cm.com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794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E26B0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姚体" w:hAnsi="方正姚体" w:eastAsia="方正姚体" w:cs="方正姚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市场部(和粉店域名)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5" w:hRule="exact"/>
        </w:trPr>
        <w:tc>
          <w:tcPr>
            <w:tcW w:w="2737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hfres.mmarket.com</w:t>
            </w:r>
          </w:p>
        </w:tc>
        <w:tc>
          <w:tcPr>
            <w:tcW w:w="520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C9C9C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方正姚体" w:hAnsi="方正姚体" w:eastAsia="方正姚体" w:cs="方正姚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方正姚体" w:hAnsi="方正姚体" w:eastAsia="方正姚体" w:cs="方正姚体"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hf.mm.10086.cn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top"/>
        <w:outlineLvl w:val="1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流量</w:t>
      </w:r>
      <w:r>
        <w:rPr>
          <w:rFonts w:hint="eastAsia" w:ascii="黑体" w:hAnsi="黑体" w:cs="黑体"/>
          <w:lang w:val="en-US" w:eastAsia="zh-CN"/>
        </w:rPr>
        <w:t>(所有事业部域名流量)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2.1、总流量</w:t>
      </w:r>
    </w:p>
    <w:p>
      <w:pPr>
        <w:rPr>
          <w:rFonts w:hint="eastAsia" w:ascii="方正姚体" w:hAnsi="方正姚体" w:eastAsia="方正姚体" w:cs="方正姚体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方正姚体" w:hAnsi="方正姚体" w:eastAsia="方正姚体" w:cs="方正姚体"/>
          <w:b/>
          <w:bCs/>
          <w:color w:val="FF0000"/>
          <w:sz w:val="20"/>
          <w:szCs w:val="20"/>
          <w:lang w:val="en-US" w:eastAsia="zh-CN"/>
        </w:rPr>
        <w:t>算法及名词解释，详见解释文档</w:t>
      </w:r>
    </w:p>
    <w:tbl>
      <w:tblPr>
        <w:tblStyle w:val="12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1209"/>
        <w:gridCol w:w="1209"/>
        <w:gridCol w:w="1209"/>
        <w:gridCol w:w="1210"/>
        <w:gridCol w:w="12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extDirection w:val="lrTb"/>
            <w:vAlign w:val="top"/>
          </w:tcPr>
          <w:p>
            <w:pPr>
              <w:jc w:val="distribute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16"/>
                <w:szCs w:val="16"/>
                <w:vertAlign w:val="baseline"/>
                <w:lang w:val="en-US" w:eastAsia="zh-CN"/>
              </w:rPr>
              <w:t>月份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1月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2月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3月</w:t>
            </w:r>
          </w:p>
        </w:tc>
        <w:tc>
          <w:tcPr>
            <w:tcW w:w="12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4月</w:t>
            </w:r>
          </w:p>
        </w:tc>
        <w:tc>
          <w:tcPr>
            <w:tcW w:w="12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5月</w:t>
            </w:r>
          </w:p>
        </w:tc>
        <w:tc>
          <w:tcPr>
            <w:tcW w:w="12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16"/>
                <w:szCs w:val="16"/>
                <w:vertAlign w:val="baseline"/>
                <w:lang w:val="en-US" w:eastAsia="zh-CN"/>
              </w:rPr>
              <w:t>流量/GB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3966991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3111700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3530774</w:t>
            </w:r>
          </w:p>
        </w:tc>
        <w:tc>
          <w:tcPr>
            <w:tcW w:w="12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3197703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  <w:textDirection w:val="lrTb"/>
            <w:vAlign w:val="top"/>
          </w:tcPr>
          <w:p>
            <w:pPr>
              <w:jc w:val="center"/>
              <w:rPr>
                <w:rFonts w:hint="eastAsia" w:ascii="新宋体" w:hAnsi="新宋体" w:eastAsia="新宋体" w:cs="新宋体"/>
                <w:b/>
                <w:bCs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16"/>
                <w:szCs w:val="16"/>
                <w:vertAlign w:val="baseline"/>
                <w:lang w:val="en-US" w:eastAsia="zh-CN"/>
              </w:rPr>
              <w:t>计费带宽/Gb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11.85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10.3</w:t>
            </w:r>
          </w:p>
        </w:tc>
        <w:tc>
          <w:tcPr>
            <w:tcW w:w="1209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10.58</w:t>
            </w:r>
          </w:p>
        </w:tc>
        <w:tc>
          <w:tcPr>
            <w:tcW w:w="1210" w:type="dxa"/>
            <w:textDirection w:val="lrTb"/>
            <w:vAlign w:val="top"/>
          </w:tcPr>
          <w:p>
            <w:pP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sz w:val="16"/>
                <w:szCs w:val="16"/>
                <w:vertAlign w:val="baseline"/>
                <w:lang w:val="en-US" w:eastAsia="zh-CN"/>
              </w:rPr>
              <w:t>9.91</w:t>
            </w:r>
          </w:p>
        </w:tc>
        <w:tc>
          <w:tcPr>
            <w:tcW w:w="12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356225" cy="2052955"/>
            <wp:effectExtent l="4445" t="4445" r="11430" b="1905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356225" cy="2052955"/>
            <wp:effectExtent l="4445" t="4445" r="11430" b="19050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2.2、地区流量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87195" cy="1680845"/>
            <wp:effectExtent l="4445" t="4445" r="22860" b="1016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626235" cy="1680845"/>
            <wp:effectExtent l="4445" t="4445" r="7620" b="1016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816735" cy="1680845"/>
            <wp:effectExtent l="4445" t="4445" r="7620" b="10160"/>
            <wp:docPr id="38" name="图表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080000" cy="1706880"/>
            <wp:effectExtent l="4445" t="4445" r="20955" b="22225"/>
            <wp:docPr id="39" name="图表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3810000"/>
            <wp:effectExtent l="4445" t="4445" r="20955" b="14605"/>
            <wp:docPr id="40" name="图表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2.3、运营商流量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2981325"/>
            <wp:effectExtent l="4445" t="4445" r="20955" b="5080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带</w:t>
      </w:r>
      <w:r>
        <w:rPr>
          <w:rFonts w:hint="eastAsia" w:ascii="黑体" w:hAnsi="黑体" w:eastAsia="黑体" w:cs="黑体"/>
          <w:lang w:val="en-US" w:eastAsia="zh-CN"/>
        </w:rPr>
        <w:t>宽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bottom"/>
        <w:outlineLvl w:val="2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3.1、带宽(峰值)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107950</wp:posOffset>
                </wp:positionV>
                <wp:extent cx="320675" cy="0"/>
                <wp:effectExtent l="0" t="13970" r="31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pt;margin-top:8.5pt;height:0pt;width:25.25pt;z-index:251664384;mso-width-relative:page;mso-height-relative:page;" filled="f" stroked="t" coordsize="21600,21600" o:gfxdata="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zjpztgAAAAJAQAADwAAAAAAAAABACAAAAAiAAAAZHJz&#10;L2Rvd25yZXYueG1sUEsBAhQAFAAAAAgAh07iQKSfo4vLAQAAZQMAAA4AAAAAAAAAAQAgAAAAJwEA&#10;AGRycy9lMm9Eb2MueG1sUEsFBgAAAAAGAAYAWQEAAGQ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2pt;margin-top:9.05pt;height:0pt;width:25.25pt;z-index:251661312;mso-width-relative:page;mso-height-relative:page;" filled="f" stroked="t" coordsize="21600,21600" o:gfxdata="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lpDGdYAAAAHAQAADwAAAAAAAAABACAAAAAiAAAAZHJz&#10;L2Rvd25yZXYueG1sUEsBAhQAFAAAAAgAh07iQHTpE4T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4月峰值带宽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3月峰值对比带宽</w:t>
      </w:r>
    </w:p>
    <w:bookmarkEnd w:id="0"/>
    <w:p>
      <w:r>
        <w:drawing>
          <wp:inline distT="0" distB="0" distL="114300" distR="114300">
            <wp:extent cx="5233035" cy="1638300"/>
            <wp:effectExtent l="0" t="0" r="5715" b="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107950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pt;margin-top:8.5pt;height:0pt;width:25.25pt;z-index:251671552;mso-width-relative:page;mso-height-relative:page;" filled="f" stroked="t" coordsize="21600,21600" o:gfxdata="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zjpztgAAAAJAQAADwAAAAAAAAABACAAAAAiAAAAZHJz&#10;L2Rvd25yZXYueG1sUEsBAhQAFAAAAAgAh07iQLQWvLnLAQAAZQMAAA4AAAAAAAAAAQAgAAAAJwEA&#10;AGRycy9lMm9Eb2MueG1sUEsFBgAAAAAGAAYAWQEAAGQ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2pt;margin-top:9.05pt;height:0pt;width:25.25pt;z-index:251668480;mso-width-relative:page;mso-height-relative:page;" filled="f" stroked="t" coordsize="21600,21600" o:gfxdata="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lpDGdYAAAAHAQAADwAAAAAAAAABACAAAAAiAAAAZHJz&#10;L2Rvd25yZXYueG1sUEsBAhQAFAAAAAgAh07iQCmcOPb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4月峰值带宽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3月峰值对比带宽</w:t>
      </w:r>
    </w:p>
    <w:p>
      <w:r>
        <w:drawing>
          <wp:inline distT="0" distB="0" distL="114300" distR="114300">
            <wp:extent cx="5233670" cy="1785620"/>
            <wp:effectExtent l="0" t="0" r="5080" b="5080"/>
            <wp:docPr id="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bottom"/>
        <w:outlineLvl w:val="2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3.1、平均带宽(计费)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36845" cy="1948815"/>
            <wp:effectExtent l="0" t="0" r="1905" b="13335"/>
            <wp:docPr id="4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beforeLines="0" w:after="240" w:afterLines="0" w:line="360" w:lineRule="auto"/>
        <w:ind w:leftChars="0" w:right="0" w:right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18"/>
          <w:lang w:val="en-US" w:eastAsia="zh-CN"/>
        </w:rPr>
        <w:t>各事业部CDN服务月况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1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MM商城事业部</w:t>
      </w:r>
    </w:p>
    <w:tbl>
      <w:tblPr>
        <w:tblStyle w:val="12"/>
        <w:tblW w:w="8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880"/>
        <w:gridCol w:w="3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  <w:t>移动MM加速域名</w:t>
            </w:r>
          </w:p>
        </w:tc>
        <w:tc>
          <w:tcPr>
            <w:tcW w:w="2880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apk.mmarket.com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apk1.mmarket.com 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a1.mmarket.com 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zjw.mmarket.com 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apkopen.mmarket.com 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cdnpcapk.mmarket.com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 xml:space="preserve">u5.mm-img.mmarket.com 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vbimg.mmarket.com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devfile.mmarket.com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</w:tc>
        <w:tc>
          <w:tcPr>
            <w:tcW w:w="3482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devatt.mmarket.com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up.ap.mmarket.com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up.mmarket.com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res1.mmarket.com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rs.base.mmarket.com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up.ap.mm-img.mmarket.com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download.i139.cn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odp.mmarket.com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i1.mm-img.mmarket.com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odpnj.mmarket.com</w:t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apps.cmdc.cc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流量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总流量：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356225" cy="2052955"/>
            <wp:effectExtent l="4445" t="4445" r="1143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356225" cy="2052955"/>
            <wp:effectExtent l="4445" t="4445" r="11430" b="190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地区: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80000" cy="1706880"/>
            <wp:effectExtent l="4445" t="4445" r="20955" b="222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运营商: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drawing>
          <wp:inline distT="0" distB="0" distL="114300" distR="114300">
            <wp:extent cx="5840095" cy="1934845"/>
            <wp:effectExtent l="4445" t="4445" r="22860" b="2286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带宽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带宽(峰值):</w:t>
      </w:r>
    </w:p>
    <w:p>
      <w:pPr>
        <w:rPr>
          <w:rFonts w:hint="eastAsia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107950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pt;margin-top:8.5pt;height:0pt;width:25.25pt;z-index:251685888;mso-width-relative:page;mso-height-relative:page;" filled="f" stroked="t" coordsize="21600,21600" o:gfxdata="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jOOnO2AAAAAkBAAAPAAAAAAAAAAEAIAAAACIAAABkcnMv&#10;ZG93bnJldi54bWxQSwECFAAUAAAACACHTuJAO8TqhMoBAABlAwAADgAAAAAAAAABACAAAAAnAQAA&#10;ZHJzL2Uyb0RvYy54bWxQSwUGAAAAAAYABgBZAQAAYw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2pt;margin-top:9.05pt;height:0pt;width:25.25pt;z-index:251682816;mso-width-relative:page;mso-height-relative:page;" filled="f" stroked="t" coordsize="21600,21600" o:gfxdata="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JaQxnWAAAABwEAAA8AAAAAAAAAAQAgAAAAIgAAAGRy&#10;cy9kb3ducmV2LnhtbFBLAQIUABQAAAAIAIdO4kCiGfjCzgEAAGUDAAAOAAAAAAAAAAEAIAAAACU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4月峰值带宽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3月峰值对比带宽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drawing>
          <wp:inline distT="0" distB="0" distL="114300" distR="114300">
            <wp:extent cx="5233670" cy="1734820"/>
            <wp:effectExtent l="0" t="0" r="5080" b="177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幼圆" w:hAnsi="幼圆" w:eastAsia="幼圆" w:cs="幼圆"/>
          <w:lang w:val="en-US" w:eastAsia="zh-CN"/>
        </w:rPr>
      </w:pP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平均带宽(计费):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drawing>
          <wp:inline distT="0" distB="0" distL="114300" distR="114300">
            <wp:extent cx="5235575" cy="1891665"/>
            <wp:effectExtent l="0" t="0" r="3175" b="133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幼圆" w:hAnsi="幼圆" w:eastAsia="幼圆" w:cs="幼圆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1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融合通信事业部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2.1和飞信业务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基础数据</w:t>
      </w:r>
    </w:p>
    <w:tbl>
      <w:tblPr>
        <w:tblStyle w:val="12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3240"/>
        <w:gridCol w:w="3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93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  <w:t>飞信业务所有域名</w:t>
            </w:r>
          </w:p>
        </w:tc>
        <w:tc>
          <w:tcPr>
            <w:tcW w:w="3240" w:type="dxa"/>
          </w:tcPr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space.fetionpic.com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downloadm.fetion-portal.com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download.fetion-portal.com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liveupdate.fetion-portal.com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download2.fetion-portal.com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liveupdatercs.fetion-portal.com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emshop.rcscdn.fetionpic.com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circle.rcscdn.fetionpic.com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pa.rcscdn.fetionpic.com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redbag.rcscdn.fetionpic.com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portrait.rcscdn.fetionpic.com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dlrcs.fetion-portal.com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show.fetionpic.com</w:t>
            </w:r>
          </w:p>
        </w:tc>
        <w:tc>
          <w:tcPr>
            <w:tcW w:w="3034" w:type="dxa"/>
          </w:tcPr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i-imgh.fetionpic.com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i-imgh2.fetionpic.com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i-imgh3.fetionpic.com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i-imgh4.fetionpic.com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i-imgp.fetionpic.com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i-imgp2.fetionpic.com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i-imgp3.fetionpic.com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i-imgp4.fetionpic.com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i-js.fetionpic.com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imgh.fetionpic.com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imgl.fetionpic.com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imgs.fetionpic.com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i-res.fetionpic.com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manor.fetionpic.com</w:t>
            </w: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minisite.fetionpic.com</w:t>
            </w:r>
          </w:p>
          <w:p>
            <w:pP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21"/>
                <w:szCs w:val="21"/>
                <w:vertAlign w:val="baseline"/>
                <w:lang w:val="en-US" w:eastAsia="zh-CN"/>
              </w:rPr>
              <w:t>showshare.fetionpic.com</w:t>
            </w:r>
          </w:p>
        </w:tc>
      </w:tr>
    </w:tbl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流量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356225" cy="2052955"/>
            <wp:effectExtent l="4445" t="4445" r="11430" b="1905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356225" cy="2052955"/>
            <wp:effectExtent l="4445" t="4445" r="11430" b="1905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地区:</w:t>
      </w:r>
    </w:p>
    <w:p>
      <w:pPr>
        <w:rPr>
          <w:rFonts w:hint="eastAsia" w:ascii="幼圆" w:hAnsi="幼圆" w:eastAsia="幼圆" w:cs="幼圆"/>
          <w:lang w:val="en-US" w:eastAsia="zh-CN"/>
        </w:rPr>
      </w:pP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运营商: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带宽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总带宽: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带宽(峰值):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平均带宽(计费):</w:t>
      </w:r>
    </w:p>
    <w:p>
      <w:pPr>
        <w:rPr>
          <w:rFonts w:hint="eastAsia" w:ascii="幼圆" w:hAnsi="幼圆" w:eastAsia="幼圆" w:cs="幼圆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2.2飞信业务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基础数据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  <w:t>加速业务</w:t>
            </w:r>
          </w:p>
        </w:tc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流量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总流量：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地区: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运营商: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带宽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总带宽: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带宽(峰值):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平均带宽(计费):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地区: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运营商:</w:t>
      </w:r>
    </w:p>
    <w:p>
      <w:pPr>
        <w:rPr>
          <w:rFonts w:hint="eastAsia" w:ascii="幼圆" w:hAnsi="幼圆" w:eastAsia="幼圆" w:cs="幼圆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1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云事业部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3.1 139邮箱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基础数据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  <w:t>加速业务</w:t>
            </w:r>
          </w:p>
        </w:tc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流量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总流量：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地区: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运营商: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带宽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总带宽: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带宽(峰值):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平均带宽(计费):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地区: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运营商:</w:t>
      </w:r>
    </w:p>
    <w:p>
      <w:pPr>
        <w:rPr>
          <w:rFonts w:hint="eastAsia" w:ascii="幼圆" w:hAnsi="幼圆" w:eastAsia="幼圆" w:cs="幼圆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3.2 和彩云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市场部</w:t>
      </w:r>
    </w:p>
    <w:p>
      <w:pPr>
        <w:pStyle w:val="1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3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基础数据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  <w:t>加速业务</w:t>
            </w:r>
          </w:p>
        </w:tc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ascii="幼圆" w:hAnsi="幼圆" w:eastAsia="幼圆" w:cs="幼圆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流量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总流量：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地区: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运营商: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top"/>
        <w:outlineLvl w:val="4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带宽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总带宽: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带宽(峰值):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平均带宽(计费):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地区:</w:t>
      </w:r>
    </w:p>
    <w:p>
      <w:pPr>
        <w:rPr>
          <w:rFonts w:hint="eastAsia" w:ascii="幼圆" w:hAnsi="幼圆" w:eastAsia="幼圆" w:cs="幼圆"/>
          <w:lang w:val="en-US" w:eastAsia="zh-CN"/>
        </w:rPr>
      </w:pPr>
      <w:r>
        <w:rPr>
          <w:rFonts w:hint="eastAsia" w:ascii="幼圆" w:hAnsi="幼圆" w:eastAsia="幼圆" w:cs="幼圆"/>
          <w:lang w:val="en-US" w:eastAsia="zh-CN"/>
        </w:rPr>
        <w:t>运营商: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幼圆" w:hAnsi="幼圆" w:eastAsia="幼圆" w:cs="幼圆"/>
          <w:lang w:val="en-US" w:eastAsia="zh-CN"/>
        </w:rPr>
      </w:pPr>
    </w:p>
    <w:sectPr>
      <w:footerReference r:id="rId3" w:type="default"/>
      <w:pgSz w:w="11850" w:h="16783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93A78"/>
    <w:multiLevelType w:val="multilevel"/>
    <w:tmpl w:val="59193A78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1BFDF4"/>
    <w:multiLevelType w:val="singleLevel"/>
    <w:tmpl w:val="591BFDF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6AC6"/>
    <w:rsid w:val="002058B9"/>
    <w:rsid w:val="004133CA"/>
    <w:rsid w:val="004631BC"/>
    <w:rsid w:val="004D1505"/>
    <w:rsid w:val="00505AF6"/>
    <w:rsid w:val="00520B92"/>
    <w:rsid w:val="005653DB"/>
    <w:rsid w:val="005D400F"/>
    <w:rsid w:val="009830E5"/>
    <w:rsid w:val="00C47E9C"/>
    <w:rsid w:val="00D52D6B"/>
    <w:rsid w:val="00E978B8"/>
    <w:rsid w:val="00F46253"/>
    <w:rsid w:val="011462A3"/>
    <w:rsid w:val="013E62F9"/>
    <w:rsid w:val="01542B05"/>
    <w:rsid w:val="01566758"/>
    <w:rsid w:val="01666286"/>
    <w:rsid w:val="01871253"/>
    <w:rsid w:val="01A67C2B"/>
    <w:rsid w:val="021956DD"/>
    <w:rsid w:val="02277EE9"/>
    <w:rsid w:val="022E22B8"/>
    <w:rsid w:val="024B72B4"/>
    <w:rsid w:val="02502C2D"/>
    <w:rsid w:val="02514829"/>
    <w:rsid w:val="02521B1B"/>
    <w:rsid w:val="025E514B"/>
    <w:rsid w:val="0263521A"/>
    <w:rsid w:val="028170D7"/>
    <w:rsid w:val="036E03BA"/>
    <w:rsid w:val="03ED0352"/>
    <w:rsid w:val="042C0EA0"/>
    <w:rsid w:val="0439400D"/>
    <w:rsid w:val="04D0057C"/>
    <w:rsid w:val="052350DC"/>
    <w:rsid w:val="052A672A"/>
    <w:rsid w:val="052B6514"/>
    <w:rsid w:val="055216D2"/>
    <w:rsid w:val="05A079AE"/>
    <w:rsid w:val="05A157C0"/>
    <w:rsid w:val="05C0702E"/>
    <w:rsid w:val="05DD3722"/>
    <w:rsid w:val="05E16233"/>
    <w:rsid w:val="05FE5069"/>
    <w:rsid w:val="06285194"/>
    <w:rsid w:val="068F58CE"/>
    <w:rsid w:val="069036BE"/>
    <w:rsid w:val="06C91E76"/>
    <w:rsid w:val="06D02F83"/>
    <w:rsid w:val="06D84BB8"/>
    <w:rsid w:val="06F64764"/>
    <w:rsid w:val="07011D00"/>
    <w:rsid w:val="07091077"/>
    <w:rsid w:val="07344BBC"/>
    <w:rsid w:val="074B5336"/>
    <w:rsid w:val="075D1097"/>
    <w:rsid w:val="076641BE"/>
    <w:rsid w:val="07B16D43"/>
    <w:rsid w:val="07D94E16"/>
    <w:rsid w:val="07F77F7E"/>
    <w:rsid w:val="08164369"/>
    <w:rsid w:val="081A68FE"/>
    <w:rsid w:val="0825781B"/>
    <w:rsid w:val="08402F1E"/>
    <w:rsid w:val="08603CD9"/>
    <w:rsid w:val="08771068"/>
    <w:rsid w:val="08794951"/>
    <w:rsid w:val="0888218C"/>
    <w:rsid w:val="089F0EA5"/>
    <w:rsid w:val="08F2110C"/>
    <w:rsid w:val="09004A25"/>
    <w:rsid w:val="09020CB4"/>
    <w:rsid w:val="094171CB"/>
    <w:rsid w:val="09710CE1"/>
    <w:rsid w:val="09892702"/>
    <w:rsid w:val="0A0B6A98"/>
    <w:rsid w:val="0A384819"/>
    <w:rsid w:val="0A72226E"/>
    <w:rsid w:val="0A992254"/>
    <w:rsid w:val="0AB147C8"/>
    <w:rsid w:val="0AF94BE3"/>
    <w:rsid w:val="0B5061EF"/>
    <w:rsid w:val="0B557686"/>
    <w:rsid w:val="0B716E49"/>
    <w:rsid w:val="0BAA296B"/>
    <w:rsid w:val="0BBF7D41"/>
    <w:rsid w:val="0BDE007C"/>
    <w:rsid w:val="0C265CC2"/>
    <w:rsid w:val="0C427490"/>
    <w:rsid w:val="0C464290"/>
    <w:rsid w:val="0C794FAE"/>
    <w:rsid w:val="0C9B51E1"/>
    <w:rsid w:val="0CB57615"/>
    <w:rsid w:val="0CB978B3"/>
    <w:rsid w:val="0CBC4819"/>
    <w:rsid w:val="0CC8317F"/>
    <w:rsid w:val="0CD706EE"/>
    <w:rsid w:val="0CEB2F40"/>
    <w:rsid w:val="0CED141C"/>
    <w:rsid w:val="0D0B0903"/>
    <w:rsid w:val="0D5229BC"/>
    <w:rsid w:val="0D6F7B72"/>
    <w:rsid w:val="0D9E5EFA"/>
    <w:rsid w:val="0E2D662B"/>
    <w:rsid w:val="0E5E066D"/>
    <w:rsid w:val="0E656737"/>
    <w:rsid w:val="0E862F29"/>
    <w:rsid w:val="0EB37103"/>
    <w:rsid w:val="0EC52B12"/>
    <w:rsid w:val="0F227754"/>
    <w:rsid w:val="0F233B3E"/>
    <w:rsid w:val="0F3B4176"/>
    <w:rsid w:val="0F563A9A"/>
    <w:rsid w:val="0F806F16"/>
    <w:rsid w:val="0FCD00DB"/>
    <w:rsid w:val="0FF46355"/>
    <w:rsid w:val="0FF46475"/>
    <w:rsid w:val="101536ED"/>
    <w:rsid w:val="1041443F"/>
    <w:rsid w:val="10625614"/>
    <w:rsid w:val="106E5ADB"/>
    <w:rsid w:val="107C7403"/>
    <w:rsid w:val="10AF0731"/>
    <w:rsid w:val="10FC62DF"/>
    <w:rsid w:val="113010C0"/>
    <w:rsid w:val="1137475F"/>
    <w:rsid w:val="11424A20"/>
    <w:rsid w:val="114D53F6"/>
    <w:rsid w:val="11D17780"/>
    <w:rsid w:val="121B00D3"/>
    <w:rsid w:val="125C22D8"/>
    <w:rsid w:val="12984129"/>
    <w:rsid w:val="129C0497"/>
    <w:rsid w:val="13025C3C"/>
    <w:rsid w:val="13090A25"/>
    <w:rsid w:val="139E14F0"/>
    <w:rsid w:val="13AA79A8"/>
    <w:rsid w:val="13EB2F19"/>
    <w:rsid w:val="142A7840"/>
    <w:rsid w:val="142E4BF4"/>
    <w:rsid w:val="146A4665"/>
    <w:rsid w:val="146F70B1"/>
    <w:rsid w:val="14A0557E"/>
    <w:rsid w:val="14AD1DD2"/>
    <w:rsid w:val="14C0745A"/>
    <w:rsid w:val="14C20D10"/>
    <w:rsid w:val="14CA0375"/>
    <w:rsid w:val="15225062"/>
    <w:rsid w:val="154F3F3F"/>
    <w:rsid w:val="15870965"/>
    <w:rsid w:val="15896001"/>
    <w:rsid w:val="159D6E27"/>
    <w:rsid w:val="159E0879"/>
    <w:rsid w:val="15AF35AA"/>
    <w:rsid w:val="15CF5C4D"/>
    <w:rsid w:val="15E803A4"/>
    <w:rsid w:val="15E804B6"/>
    <w:rsid w:val="16207679"/>
    <w:rsid w:val="16AE561F"/>
    <w:rsid w:val="16FE6F35"/>
    <w:rsid w:val="17104DBE"/>
    <w:rsid w:val="174D3097"/>
    <w:rsid w:val="17626113"/>
    <w:rsid w:val="17735FD0"/>
    <w:rsid w:val="17BF3F5C"/>
    <w:rsid w:val="17F2003C"/>
    <w:rsid w:val="18022560"/>
    <w:rsid w:val="183D4D5C"/>
    <w:rsid w:val="186D7D88"/>
    <w:rsid w:val="18EC0CDE"/>
    <w:rsid w:val="19015EB2"/>
    <w:rsid w:val="190A0502"/>
    <w:rsid w:val="194A4771"/>
    <w:rsid w:val="1952119C"/>
    <w:rsid w:val="19606EF6"/>
    <w:rsid w:val="1A1E4E9E"/>
    <w:rsid w:val="1A21313F"/>
    <w:rsid w:val="1A5A688E"/>
    <w:rsid w:val="1A602DE7"/>
    <w:rsid w:val="1A7D5DB4"/>
    <w:rsid w:val="1AA273B5"/>
    <w:rsid w:val="1AC279BF"/>
    <w:rsid w:val="1B0439C4"/>
    <w:rsid w:val="1B8C024B"/>
    <w:rsid w:val="1B9532FD"/>
    <w:rsid w:val="1BA25C9D"/>
    <w:rsid w:val="1BAB2AE9"/>
    <w:rsid w:val="1BBC165E"/>
    <w:rsid w:val="1BBC498D"/>
    <w:rsid w:val="1BC92092"/>
    <w:rsid w:val="1BCB53A4"/>
    <w:rsid w:val="1BCD5615"/>
    <w:rsid w:val="1BF507AA"/>
    <w:rsid w:val="1C05038A"/>
    <w:rsid w:val="1C077C0E"/>
    <w:rsid w:val="1C360CA7"/>
    <w:rsid w:val="1C8B3C76"/>
    <w:rsid w:val="1C900137"/>
    <w:rsid w:val="1CCB2AC6"/>
    <w:rsid w:val="1D4A4CF6"/>
    <w:rsid w:val="1D8630B1"/>
    <w:rsid w:val="1D8D3DC7"/>
    <w:rsid w:val="1DF216AC"/>
    <w:rsid w:val="1DFF40F9"/>
    <w:rsid w:val="1E047564"/>
    <w:rsid w:val="1E54398D"/>
    <w:rsid w:val="1E700FCA"/>
    <w:rsid w:val="1E8A6CDE"/>
    <w:rsid w:val="1EB80940"/>
    <w:rsid w:val="1EBE62CA"/>
    <w:rsid w:val="1F3F3D07"/>
    <w:rsid w:val="1F4A7FAC"/>
    <w:rsid w:val="1F7620BE"/>
    <w:rsid w:val="1F823036"/>
    <w:rsid w:val="1FAB59E1"/>
    <w:rsid w:val="1FB56A6F"/>
    <w:rsid w:val="1FCB632B"/>
    <w:rsid w:val="1FF947D0"/>
    <w:rsid w:val="20221803"/>
    <w:rsid w:val="20230392"/>
    <w:rsid w:val="204C4B24"/>
    <w:rsid w:val="208D610F"/>
    <w:rsid w:val="20C7795B"/>
    <w:rsid w:val="20D54B95"/>
    <w:rsid w:val="215806C7"/>
    <w:rsid w:val="21B92B37"/>
    <w:rsid w:val="226A17CE"/>
    <w:rsid w:val="226A6526"/>
    <w:rsid w:val="22836126"/>
    <w:rsid w:val="22867DEE"/>
    <w:rsid w:val="22CC4147"/>
    <w:rsid w:val="22E147EA"/>
    <w:rsid w:val="231B1A4B"/>
    <w:rsid w:val="2337141B"/>
    <w:rsid w:val="236B620C"/>
    <w:rsid w:val="236E27DE"/>
    <w:rsid w:val="23A11B51"/>
    <w:rsid w:val="23BF6117"/>
    <w:rsid w:val="23D725D8"/>
    <w:rsid w:val="23DB3713"/>
    <w:rsid w:val="23FB3014"/>
    <w:rsid w:val="2414573D"/>
    <w:rsid w:val="24524986"/>
    <w:rsid w:val="2468432B"/>
    <w:rsid w:val="24774CE2"/>
    <w:rsid w:val="24B85B35"/>
    <w:rsid w:val="25203622"/>
    <w:rsid w:val="25E04C4A"/>
    <w:rsid w:val="262759F0"/>
    <w:rsid w:val="26832AA5"/>
    <w:rsid w:val="26B23517"/>
    <w:rsid w:val="27072AF3"/>
    <w:rsid w:val="2714574F"/>
    <w:rsid w:val="27536698"/>
    <w:rsid w:val="277F5347"/>
    <w:rsid w:val="27960F97"/>
    <w:rsid w:val="27C4747C"/>
    <w:rsid w:val="27E763F0"/>
    <w:rsid w:val="28161B10"/>
    <w:rsid w:val="284F39BD"/>
    <w:rsid w:val="287F269E"/>
    <w:rsid w:val="28C769C1"/>
    <w:rsid w:val="28E00D8E"/>
    <w:rsid w:val="28F364AC"/>
    <w:rsid w:val="29305B9E"/>
    <w:rsid w:val="2973173C"/>
    <w:rsid w:val="29B61474"/>
    <w:rsid w:val="29BA0A1C"/>
    <w:rsid w:val="29BB7D55"/>
    <w:rsid w:val="2A064EF5"/>
    <w:rsid w:val="2A413882"/>
    <w:rsid w:val="2AC86A69"/>
    <w:rsid w:val="2AEF1A32"/>
    <w:rsid w:val="2B5A3982"/>
    <w:rsid w:val="2B7C0549"/>
    <w:rsid w:val="2BA312CD"/>
    <w:rsid w:val="2BC541B9"/>
    <w:rsid w:val="2C047DF9"/>
    <w:rsid w:val="2C5A6B17"/>
    <w:rsid w:val="2C9C295A"/>
    <w:rsid w:val="2CB95242"/>
    <w:rsid w:val="2D107428"/>
    <w:rsid w:val="2D1A24DE"/>
    <w:rsid w:val="2D3C1D3F"/>
    <w:rsid w:val="2D457983"/>
    <w:rsid w:val="2D977AF7"/>
    <w:rsid w:val="2DDA4B78"/>
    <w:rsid w:val="2DEF5B1F"/>
    <w:rsid w:val="2E037B4A"/>
    <w:rsid w:val="2E0D4B63"/>
    <w:rsid w:val="2E457422"/>
    <w:rsid w:val="2EBA4250"/>
    <w:rsid w:val="2ECC1A29"/>
    <w:rsid w:val="2EE27A9E"/>
    <w:rsid w:val="2EE8799D"/>
    <w:rsid w:val="2EEA76D4"/>
    <w:rsid w:val="2EEC2D6E"/>
    <w:rsid w:val="2EF70568"/>
    <w:rsid w:val="2EFC770B"/>
    <w:rsid w:val="2F1E7813"/>
    <w:rsid w:val="2F6C0DD5"/>
    <w:rsid w:val="2F7126F0"/>
    <w:rsid w:val="2F714381"/>
    <w:rsid w:val="2F731330"/>
    <w:rsid w:val="2F766491"/>
    <w:rsid w:val="2FA7319D"/>
    <w:rsid w:val="2FC7352D"/>
    <w:rsid w:val="3031323F"/>
    <w:rsid w:val="30815640"/>
    <w:rsid w:val="3126424C"/>
    <w:rsid w:val="31282373"/>
    <w:rsid w:val="31294161"/>
    <w:rsid w:val="317E58E4"/>
    <w:rsid w:val="3184775B"/>
    <w:rsid w:val="318624AF"/>
    <w:rsid w:val="31D23204"/>
    <w:rsid w:val="31F45A51"/>
    <w:rsid w:val="32534655"/>
    <w:rsid w:val="327624B7"/>
    <w:rsid w:val="328E5D0D"/>
    <w:rsid w:val="32C1372F"/>
    <w:rsid w:val="32D848BB"/>
    <w:rsid w:val="32DD360E"/>
    <w:rsid w:val="32FF67C8"/>
    <w:rsid w:val="331C7033"/>
    <w:rsid w:val="331E6671"/>
    <w:rsid w:val="332B363F"/>
    <w:rsid w:val="333443E4"/>
    <w:rsid w:val="33512C15"/>
    <w:rsid w:val="3368162A"/>
    <w:rsid w:val="3368664C"/>
    <w:rsid w:val="338153BD"/>
    <w:rsid w:val="33A91F50"/>
    <w:rsid w:val="33BE6A7F"/>
    <w:rsid w:val="33CA38A6"/>
    <w:rsid w:val="33DF34D8"/>
    <w:rsid w:val="33E21C52"/>
    <w:rsid w:val="33EA5A30"/>
    <w:rsid w:val="33FE2000"/>
    <w:rsid w:val="34355A82"/>
    <w:rsid w:val="343E3FE3"/>
    <w:rsid w:val="348A1EBC"/>
    <w:rsid w:val="34DA5F80"/>
    <w:rsid w:val="34F94FD7"/>
    <w:rsid w:val="350341DA"/>
    <w:rsid w:val="35460A19"/>
    <w:rsid w:val="355F65F8"/>
    <w:rsid w:val="35681FB2"/>
    <w:rsid w:val="35F336CF"/>
    <w:rsid w:val="36B77E86"/>
    <w:rsid w:val="36DB6A5A"/>
    <w:rsid w:val="36DE2E3D"/>
    <w:rsid w:val="372A4CDA"/>
    <w:rsid w:val="37752BE8"/>
    <w:rsid w:val="378557F0"/>
    <w:rsid w:val="37A34C0E"/>
    <w:rsid w:val="381560B9"/>
    <w:rsid w:val="38156608"/>
    <w:rsid w:val="38771FF9"/>
    <w:rsid w:val="388B2330"/>
    <w:rsid w:val="389375E2"/>
    <w:rsid w:val="38EC265F"/>
    <w:rsid w:val="38FA56CA"/>
    <w:rsid w:val="391B7B12"/>
    <w:rsid w:val="392277BC"/>
    <w:rsid w:val="39522D50"/>
    <w:rsid w:val="395C0D89"/>
    <w:rsid w:val="395D7AD9"/>
    <w:rsid w:val="39D06548"/>
    <w:rsid w:val="39EB5697"/>
    <w:rsid w:val="39F35BBA"/>
    <w:rsid w:val="3A33296D"/>
    <w:rsid w:val="3A33779B"/>
    <w:rsid w:val="3A3C3E88"/>
    <w:rsid w:val="3A3D7AFC"/>
    <w:rsid w:val="3A612AD1"/>
    <w:rsid w:val="3A76051B"/>
    <w:rsid w:val="3AA262A5"/>
    <w:rsid w:val="3AB44004"/>
    <w:rsid w:val="3AB50D87"/>
    <w:rsid w:val="3AC50B67"/>
    <w:rsid w:val="3AD93EF6"/>
    <w:rsid w:val="3B025949"/>
    <w:rsid w:val="3B0A33A7"/>
    <w:rsid w:val="3B237451"/>
    <w:rsid w:val="3B3E45A3"/>
    <w:rsid w:val="3C1535EE"/>
    <w:rsid w:val="3C324C1C"/>
    <w:rsid w:val="3C8279A0"/>
    <w:rsid w:val="3C983029"/>
    <w:rsid w:val="3CD977A4"/>
    <w:rsid w:val="3D1F6BE4"/>
    <w:rsid w:val="3D2B3B4F"/>
    <w:rsid w:val="3D4D30DF"/>
    <w:rsid w:val="3D716A44"/>
    <w:rsid w:val="3D854385"/>
    <w:rsid w:val="3D976A53"/>
    <w:rsid w:val="3DAB3113"/>
    <w:rsid w:val="3DCD7999"/>
    <w:rsid w:val="3DFE3A87"/>
    <w:rsid w:val="3E094FEB"/>
    <w:rsid w:val="3E1741CA"/>
    <w:rsid w:val="3E3B244C"/>
    <w:rsid w:val="3E7D2F9C"/>
    <w:rsid w:val="3E911676"/>
    <w:rsid w:val="3EA1743E"/>
    <w:rsid w:val="3F443851"/>
    <w:rsid w:val="3FA35C63"/>
    <w:rsid w:val="3FBA376C"/>
    <w:rsid w:val="402C6472"/>
    <w:rsid w:val="403A7D1B"/>
    <w:rsid w:val="40471B24"/>
    <w:rsid w:val="40490E23"/>
    <w:rsid w:val="40531167"/>
    <w:rsid w:val="409C0C99"/>
    <w:rsid w:val="40A57860"/>
    <w:rsid w:val="40A90FA3"/>
    <w:rsid w:val="414268C2"/>
    <w:rsid w:val="41F005A2"/>
    <w:rsid w:val="42127FDE"/>
    <w:rsid w:val="421818E5"/>
    <w:rsid w:val="425136E8"/>
    <w:rsid w:val="425C7F61"/>
    <w:rsid w:val="42684B60"/>
    <w:rsid w:val="4348526F"/>
    <w:rsid w:val="43494A21"/>
    <w:rsid w:val="434F1AFF"/>
    <w:rsid w:val="434F341C"/>
    <w:rsid w:val="43692662"/>
    <w:rsid w:val="43A71280"/>
    <w:rsid w:val="43BD7D46"/>
    <w:rsid w:val="441E65B4"/>
    <w:rsid w:val="448D5783"/>
    <w:rsid w:val="448E1288"/>
    <w:rsid w:val="44A711F6"/>
    <w:rsid w:val="44D01BB8"/>
    <w:rsid w:val="44FB38AC"/>
    <w:rsid w:val="454E7ED9"/>
    <w:rsid w:val="457B3823"/>
    <w:rsid w:val="45E6644F"/>
    <w:rsid w:val="45F91D9E"/>
    <w:rsid w:val="46003D42"/>
    <w:rsid w:val="4642135A"/>
    <w:rsid w:val="467D4F1B"/>
    <w:rsid w:val="46C94618"/>
    <w:rsid w:val="46F51962"/>
    <w:rsid w:val="472A462F"/>
    <w:rsid w:val="473B0F97"/>
    <w:rsid w:val="474B375C"/>
    <w:rsid w:val="477C4926"/>
    <w:rsid w:val="47A1534C"/>
    <w:rsid w:val="47AD60C6"/>
    <w:rsid w:val="47BE0DC1"/>
    <w:rsid w:val="47BF772A"/>
    <w:rsid w:val="47D04688"/>
    <w:rsid w:val="47D1006A"/>
    <w:rsid w:val="47FD06A1"/>
    <w:rsid w:val="48161CD0"/>
    <w:rsid w:val="482D07FB"/>
    <w:rsid w:val="48301FB2"/>
    <w:rsid w:val="48B71090"/>
    <w:rsid w:val="48B940DE"/>
    <w:rsid w:val="48EF64E9"/>
    <w:rsid w:val="48FE176D"/>
    <w:rsid w:val="49AB0201"/>
    <w:rsid w:val="49FB094D"/>
    <w:rsid w:val="49FB5F4E"/>
    <w:rsid w:val="4A0355B8"/>
    <w:rsid w:val="4A0A5275"/>
    <w:rsid w:val="4A1771ED"/>
    <w:rsid w:val="4A365541"/>
    <w:rsid w:val="4A7649E5"/>
    <w:rsid w:val="4A9B4411"/>
    <w:rsid w:val="4ABD2949"/>
    <w:rsid w:val="4AC20C99"/>
    <w:rsid w:val="4AEC004E"/>
    <w:rsid w:val="4AFB7370"/>
    <w:rsid w:val="4B2114AF"/>
    <w:rsid w:val="4B3750F1"/>
    <w:rsid w:val="4B521A0E"/>
    <w:rsid w:val="4B82741A"/>
    <w:rsid w:val="4B95363D"/>
    <w:rsid w:val="4BA436E8"/>
    <w:rsid w:val="4BA65CB9"/>
    <w:rsid w:val="4BB402E0"/>
    <w:rsid w:val="4BCB7720"/>
    <w:rsid w:val="4BEF444C"/>
    <w:rsid w:val="4C0613CF"/>
    <w:rsid w:val="4C4A5FBC"/>
    <w:rsid w:val="4C5B66A1"/>
    <w:rsid w:val="4C6D7CAA"/>
    <w:rsid w:val="4D4376AD"/>
    <w:rsid w:val="4D546A3B"/>
    <w:rsid w:val="4D6B10DB"/>
    <w:rsid w:val="4DF901CE"/>
    <w:rsid w:val="4DFC6360"/>
    <w:rsid w:val="4E044764"/>
    <w:rsid w:val="4E1703A1"/>
    <w:rsid w:val="4E586774"/>
    <w:rsid w:val="4E624F40"/>
    <w:rsid w:val="4E6723DD"/>
    <w:rsid w:val="4E734B0D"/>
    <w:rsid w:val="4E9234D3"/>
    <w:rsid w:val="4EC45C64"/>
    <w:rsid w:val="4EC824C1"/>
    <w:rsid w:val="4F0E0689"/>
    <w:rsid w:val="4F2F1262"/>
    <w:rsid w:val="4F3A6438"/>
    <w:rsid w:val="4F457741"/>
    <w:rsid w:val="4F787104"/>
    <w:rsid w:val="4F9051D2"/>
    <w:rsid w:val="4FC029CB"/>
    <w:rsid w:val="4FD77055"/>
    <w:rsid w:val="50072A9F"/>
    <w:rsid w:val="50185C29"/>
    <w:rsid w:val="50CE4132"/>
    <w:rsid w:val="50E616CF"/>
    <w:rsid w:val="50F40C9E"/>
    <w:rsid w:val="510360E4"/>
    <w:rsid w:val="511A1B32"/>
    <w:rsid w:val="51265C17"/>
    <w:rsid w:val="512E6CE3"/>
    <w:rsid w:val="51373B2B"/>
    <w:rsid w:val="519655FE"/>
    <w:rsid w:val="51A41662"/>
    <w:rsid w:val="51EA5BCB"/>
    <w:rsid w:val="52184AEA"/>
    <w:rsid w:val="5223610E"/>
    <w:rsid w:val="52271FDC"/>
    <w:rsid w:val="52657B03"/>
    <w:rsid w:val="52794433"/>
    <w:rsid w:val="52DE35B7"/>
    <w:rsid w:val="52E65A71"/>
    <w:rsid w:val="52F03E72"/>
    <w:rsid w:val="53140630"/>
    <w:rsid w:val="532E3100"/>
    <w:rsid w:val="534009B9"/>
    <w:rsid w:val="534351B0"/>
    <w:rsid w:val="53552CA6"/>
    <w:rsid w:val="535F4B58"/>
    <w:rsid w:val="53A85E46"/>
    <w:rsid w:val="53C7799C"/>
    <w:rsid w:val="53D04147"/>
    <w:rsid w:val="54B07B38"/>
    <w:rsid w:val="54B13DE7"/>
    <w:rsid w:val="54B7795E"/>
    <w:rsid w:val="55006931"/>
    <w:rsid w:val="55074EBA"/>
    <w:rsid w:val="55173E28"/>
    <w:rsid w:val="551E259E"/>
    <w:rsid w:val="55450A4C"/>
    <w:rsid w:val="55495346"/>
    <w:rsid w:val="55614F60"/>
    <w:rsid w:val="55615012"/>
    <w:rsid w:val="56107B9B"/>
    <w:rsid w:val="56183FD6"/>
    <w:rsid w:val="563925D5"/>
    <w:rsid w:val="564034AE"/>
    <w:rsid w:val="56636D24"/>
    <w:rsid w:val="5676525D"/>
    <w:rsid w:val="56A407A0"/>
    <w:rsid w:val="56AA4F96"/>
    <w:rsid w:val="56E17C0A"/>
    <w:rsid w:val="57233D1A"/>
    <w:rsid w:val="57653101"/>
    <w:rsid w:val="57740A66"/>
    <w:rsid w:val="57845068"/>
    <w:rsid w:val="57A35DF9"/>
    <w:rsid w:val="57BC56E0"/>
    <w:rsid w:val="57F02730"/>
    <w:rsid w:val="57F36607"/>
    <w:rsid w:val="58317F43"/>
    <w:rsid w:val="586D0E15"/>
    <w:rsid w:val="5878395B"/>
    <w:rsid w:val="588F53B4"/>
    <w:rsid w:val="58935910"/>
    <w:rsid w:val="58942493"/>
    <w:rsid w:val="58AF31DB"/>
    <w:rsid w:val="58D01256"/>
    <w:rsid w:val="58D23C31"/>
    <w:rsid w:val="59546B30"/>
    <w:rsid w:val="59565B2A"/>
    <w:rsid w:val="59821EAA"/>
    <w:rsid w:val="59853A11"/>
    <w:rsid w:val="5AA47A53"/>
    <w:rsid w:val="5AB4787D"/>
    <w:rsid w:val="5AC0325A"/>
    <w:rsid w:val="5AC3015A"/>
    <w:rsid w:val="5AC73E63"/>
    <w:rsid w:val="5AF81DC0"/>
    <w:rsid w:val="5AF957B7"/>
    <w:rsid w:val="5B0F6A73"/>
    <w:rsid w:val="5B8968CA"/>
    <w:rsid w:val="5B8A25A3"/>
    <w:rsid w:val="5BC86AFB"/>
    <w:rsid w:val="5BDC4C6D"/>
    <w:rsid w:val="5C2368D8"/>
    <w:rsid w:val="5C31171C"/>
    <w:rsid w:val="5C46499E"/>
    <w:rsid w:val="5C6637CA"/>
    <w:rsid w:val="5C68628C"/>
    <w:rsid w:val="5C792874"/>
    <w:rsid w:val="5C7A4E35"/>
    <w:rsid w:val="5CA413BA"/>
    <w:rsid w:val="5CC630EF"/>
    <w:rsid w:val="5CE65595"/>
    <w:rsid w:val="5CE823D9"/>
    <w:rsid w:val="5D0225D7"/>
    <w:rsid w:val="5D461C05"/>
    <w:rsid w:val="5D760EA8"/>
    <w:rsid w:val="5D7F7DB0"/>
    <w:rsid w:val="5DA21130"/>
    <w:rsid w:val="5DCA4BBC"/>
    <w:rsid w:val="5E1E2857"/>
    <w:rsid w:val="5E4E5D43"/>
    <w:rsid w:val="5E5053C9"/>
    <w:rsid w:val="5E655FBE"/>
    <w:rsid w:val="5E6D2213"/>
    <w:rsid w:val="5E9222FB"/>
    <w:rsid w:val="5EB8574D"/>
    <w:rsid w:val="5ED8599F"/>
    <w:rsid w:val="5ED86E83"/>
    <w:rsid w:val="5EF30766"/>
    <w:rsid w:val="5EFD6742"/>
    <w:rsid w:val="5F522961"/>
    <w:rsid w:val="5FBF6226"/>
    <w:rsid w:val="5FE259A3"/>
    <w:rsid w:val="6017396D"/>
    <w:rsid w:val="6019251C"/>
    <w:rsid w:val="602B3FF7"/>
    <w:rsid w:val="60562BD0"/>
    <w:rsid w:val="60793AC5"/>
    <w:rsid w:val="60927F4A"/>
    <w:rsid w:val="60B06C7A"/>
    <w:rsid w:val="60D824FD"/>
    <w:rsid w:val="60F6333A"/>
    <w:rsid w:val="612E59D4"/>
    <w:rsid w:val="61716FE7"/>
    <w:rsid w:val="618C53AE"/>
    <w:rsid w:val="61943B3B"/>
    <w:rsid w:val="619F66E6"/>
    <w:rsid w:val="61B646FE"/>
    <w:rsid w:val="61DA3EE3"/>
    <w:rsid w:val="61DD07D0"/>
    <w:rsid w:val="61E81621"/>
    <w:rsid w:val="61F402DF"/>
    <w:rsid w:val="62404CD7"/>
    <w:rsid w:val="625609DC"/>
    <w:rsid w:val="626215F6"/>
    <w:rsid w:val="62814ADF"/>
    <w:rsid w:val="62825937"/>
    <w:rsid w:val="62884C3F"/>
    <w:rsid w:val="6295393B"/>
    <w:rsid w:val="62AF08E2"/>
    <w:rsid w:val="62B10D78"/>
    <w:rsid w:val="630B195B"/>
    <w:rsid w:val="6327685C"/>
    <w:rsid w:val="633864ED"/>
    <w:rsid w:val="639D4C39"/>
    <w:rsid w:val="63E10BEF"/>
    <w:rsid w:val="63EA32C6"/>
    <w:rsid w:val="63F426C2"/>
    <w:rsid w:val="642071E5"/>
    <w:rsid w:val="643E370A"/>
    <w:rsid w:val="6475503D"/>
    <w:rsid w:val="647811EE"/>
    <w:rsid w:val="647D08EB"/>
    <w:rsid w:val="64AB3C3A"/>
    <w:rsid w:val="64FC14A2"/>
    <w:rsid w:val="65090AF9"/>
    <w:rsid w:val="650F7D9E"/>
    <w:rsid w:val="651826DD"/>
    <w:rsid w:val="651906B0"/>
    <w:rsid w:val="65321EA4"/>
    <w:rsid w:val="6538394D"/>
    <w:rsid w:val="65785260"/>
    <w:rsid w:val="65950C52"/>
    <w:rsid w:val="65D81AB5"/>
    <w:rsid w:val="65FA21CA"/>
    <w:rsid w:val="65FC25D3"/>
    <w:rsid w:val="660F0B74"/>
    <w:rsid w:val="663A48A8"/>
    <w:rsid w:val="66606F0C"/>
    <w:rsid w:val="667B6AC2"/>
    <w:rsid w:val="667D3966"/>
    <w:rsid w:val="66811B8A"/>
    <w:rsid w:val="66E77DF2"/>
    <w:rsid w:val="670E5356"/>
    <w:rsid w:val="67140A21"/>
    <w:rsid w:val="67AC0E44"/>
    <w:rsid w:val="685407AE"/>
    <w:rsid w:val="6872733B"/>
    <w:rsid w:val="68B33AFD"/>
    <w:rsid w:val="68CF7802"/>
    <w:rsid w:val="691E7338"/>
    <w:rsid w:val="693A42A2"/>
    <w:rsid w:val="69482CF9"/>
    <w:rsid w:val="69615AC5"/>
    <w:rsid w:val="6978675C"/>
    <w:rsid w:val="69A132EC"/>
    <w:rsid w:val="69CD659B"/>
    <w:rsid w:val="6A145732"/>
    <w:rsid w:val="6A857D5F"/>
    <w:rsid w:val="6A8E234A"/>
    <w:rsid w:val="6AA85ECA"/>
    <w:rsid w:val="6B1952A5"/>
    <w:rsid w:val="6B360A52"/>
    <w:rsid w:val="6B681E91"/>
    <w:rsid w:val="6B72084B"/>
    <w:rsid w:val="6B7E535C"/>
    <w:rsid w:val="6B884DB5"/>
    <w:rsid w:val="6B9E77C5"/>
    <w:rsid w:val="6BBA2F1D"/>
    <w:rsid w:val="6BF527AF"/>
    <w:rsid w:val="6C04729F"/>
    <w:rsid w:val="6C1D4FD0"/>
    <w:rsid w:val="6C52693E"/>
    <w:rsid w:val="6C823F83"/>
    <w:rsid w:val="6C883447"/>
    <w:rsid w:val="6C8A43EA"/>
    <w:rsid w:val="6C973AC2"/>
    <w:rsid w:val="6CAF0757"/>
    <w:rsid w:val="6CCB1A4D"/>
    <w:rsid w:val="6CF32840"/>
    <w:rsid w:val="6D1B153C"/>
    <w:rsid w:val="6D2C076C"/>
    <w:rsid w:val="6D385D5C"/>
    <w:rsid w:val="6DED50DA"/>
    <w:rsid w:val="6DF75E62"/>
    <w:rsid w:val="6E1F1F75"/>
    <w:rsid w:val="6E24132B"/>
    <w:rsid w:val="6E285271"/>
    <w:rsid w:val="6E783A32"/>
    <w:rsid w:val="6E800F27"/>
    <w:rsid w:val="6E8F712E"/>
    <w:rsid w:val="6EB42EF6"/>
    <w:rsid w:val="6EF7264E"/>
    <w:rsid w:val="6EFF3D18"/>
    <w:rsid w:val="6F03422D"/>
    <w:rsid w:val="6F0F70E9"/>
    <w:rsid w:val="6F526470"/>
    <w:rsid w:val="6F645B96"/>
    <w:rsid w:val="6F6524BB"/>
    <w:rsid w:val="6F710410"/>
    <w:rsid w:val="6F7104EB"/>
    <w:rsid w:val="6FD05CBA"/>
    <w:rsid w:val="6FF91E52"/>
    <w:rsid w:val="6FFB6A51"/>
    <w:rsid w:val="70031C3D"/>
    <w:rsid w:val="70435196"/>
    <w:rsid w:val="711363F7"/>
    <w:rsid w:val="713D4684"/>
    <w:rsid w:val="71A156BE"/>
    <w:rsid w:val="71A82EEA"/>
    <w:rsid w:val="71B4585A"/>
    <w:rsid w:val="71C970DE"/>
    <w:rsid w:val="72052430"/>
    <w:rsid w:val="725D301D"/>
    <w:rsid w:val="72643054"/>
    <w:rsid w:val="727A244E"/>
    <w:rsid w:val="729374D3"/>
    <w:rsid w:val="72A16530"/>
    <w:rsid w:val="72CA7622"/>
    <w:rsid w:val="72E67ADB"/>
    <w:rsid w:val="733162AA"/>
    <w:rsid w:val="73342063"/>
    <w:rsid w:val="73612108"/>
    <w:rsid w:val="736A4415"/>
    <w:rsid w:val="73BF75A7"/>
    <w:rsid w:val="73CC7B7C"/>
    <w:rsid w:val="73E254FE"/>
    <w:rsid w:val="740E7626"/>
    <w:rsid w:val="745339FA"/>
    <w:rsid w:val="745D2F25"/>
    <w:rsid w:val="74DD7353"/>
    <w:rsid w:val="75C83F34"/>
    <w:rsid w:val="75EB3EC5"/>
    <w:rsid w:val="76113212"/>
    <w:rsid w:val="76501F26"/>
    <w:rsid w:val="76877C51"/>
    <w:rsid w:val="76B364CE"/>
    <w:rsid w:val="76CF0F8C"/>
    <w:rsid w:val="76FE13ED"/>
    <w:rsid w:val="7736636A"/>
    <w:rsid w:val="773A2FF1"/>
    <w:rsid w:val="773A5CED"/>
    <w:rsid w:val="773B46BF"/>
    <w:rsid w:val="774253A7"/>
    <w:rsid w:val="775D7372"/>
    <w:rsid w:val="77603ABB"/>
    <w:rsid w:val="7766346F"/>
    <w:rsid w:val="7781083F"/>
    <w:rsid w:val="7782278A"/>
    <w:rsid w:val="77CC23AF"/>
    <w:rsid w:val="77CF5DF5"/>
    <w:rsid w:val="78516A0C"/>
    <w:rsid w:val="7862751A"/>
    <w:rsid w:val="7873455A"/>
    <w:rsid w:val="7880515E"/>
    <w:rsid w:val="78B43DC9"/>
    <w:rsid w:val="78C229C7"/>
    <w:rsid w:val="78F94E99"/>
    <w:rsid w:val="79207650"/>
    <w:rsid w:val="79844CC7"/>
    <w:rsid w:val="79F755C0"/>
    <w:rsid w:val="79FC0E9E"/>
    <w:rsid w:val="7AE2097D"/>
    <w:rsid w:val="7AEE73E0"/>
    <w:rsid w:val="7AFF496F"/>
    <w:rsid w:val="7B0C39FD"/>
    <w:rsid w:val="7B1E4297"/>
    <w:rsid w:val="7B851913"/>
    <w:rsid w:val="7BDC05B2"/>
    <w:rsid w:val="7BF44871"/>
    <w:rsid w:val="7C835CD9"/>
    <w:rsid w:val="7C8E00C5"/>
    <w:rsid w:val="7CBC4B91"/>
    <w:rsid w:val="7CE108F2"/>
    <w:rsid w:val="7CE94841"/>
    <w:rsid w:val="7D367C4C"/>
    <w:rsid w:val="7D806FA9"/>
    <w:rsid w:val="7D9D55F8"/>
    <w:rsid w:val="7D9D7A18"/>
    <w:rsid w:val="7DA41A6C"/>
    <w:rsid w:val="7DC71204"/>
    <w:rsid w:val="7E0E77E8"/>
    <w:rsid w:val="7E26291C"/>
    <w:rsid w:val="7E4D5A94"/>
    <w:rsid w:val="7E693471"/>
    <w:rsid w:val="7E8A0B09"/>
    <w:rsid w:val="7ED771DD"/>
    <w:rsid w:val="7F086093"/>
    <w:rsid w:val="7F4031C2"/>
    <w:rsid w:val="7F4734B0"/>
    <w:rsid w:val="7F526938"/>
    <w:rsid w:val="7F5D0BB4"/>
    <w:rsid w:val="7F666A23"/>
    <w:rsid w:val="7F85272E"/>
    <w:rsid w:val="7F955095"/>
    <w:rsid w:val="7FF11A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3">
    <w:name w:val="段落4"/>
    <w:basedOn w:val="5"/>
    <w:qFormat/>
    <w:uiPriority w:val="0"/>
    <w:rPr>
      <w:rFonts w:asciiTheme="minorAscii" w:hAnsiTheme="minorAscii"/>
    </w:rPr>
  </w:style>
  <w:style w:type="paragraph" w:customStyle="1" w:styleId="14">
    <w:name w:val="段落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chart" Target="charts/chart14.xml"/><Relationship Id="rId25" Type="http://schemas.openxmlformats.org/officeDocument/2006/relationships/chart" Target="charts/chart13.xml"/><Relationship Id="rId24" Type="http://schemas.openxmlformats.org/officeDocument/2006/relationships/image" Target="media/image8.png"/><Relationship Id="rId23" Type="http://schemas.openxmlformats.org/officeDocument/2006/relationships/image" Target="media/image7.png"/><Relationship Id="rId22" Type="http://schemas.openxmlformats.org/officeDocument/2006/relationships/chart" Target="charts/chart12.xml"/><Relationship Id="rId21" Type="http://schemas.openxmlformats.org/officeDocument/2006/relationships/chart" Target="charts/chart11.xml"/><Relationship Id="rId20" Type="http://schemas.openxmlformats.org/officeDocument/2006/relationships/chart" Target="charts/chart10.xml"/><Relationship Id="rId2" Type="http://schemas.openxmlformats.org/officeDocument/2006/relationships/settings" Target="settings.xml"/><Relationship Id="rId19" Type="http://schemas.openxmlformats.org/officeDocument/2006/relationships/chart" Target="charts/chart9.xml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chart" Target="charts/chart8.xml"/><Relationship Id="rId14" Type="http://schemas.openxmlformats.org/officeDocument/2006/relationships/chart" Target="charts/chart7.xml"/><Relationship Id="rId13" Type="http://schemas.openxmlformats.org/officeDocument/2006/relationships/chart" Target="charts/chart6.xml"/><Relationship Id="rId12" Type="http://schemas.openxmlformats.org/officeDocument/2006/relationships/chart" Target="charts/chart5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package" Target="../embeddings/Workbook10.xlsx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package" Target="../embeddings/Workbook11.xlsx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package" Target="../embeddings/Workbook12.xlsx"/></Relationships>
</file>

<file path=word/charts/_rels/chart13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package" Target="../embeddings/Workbook13.xlsx"/></Relationships>
</file>

<file path=word/charts/_rels/chart14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package" Target="../embeddings/Workbook14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package" Target="../embeddings/Workbook7.xlsx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package" Target="../embeddings/Workbook8.xlsx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package" Target="../embeddings/Workbook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四月前半个月流量分析折线图</a:t>
            </a:r>
            <a:r>
              <a:rPr lang="en-US" altLang="zh-CN"/>
              <a:t>/GB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176052163604"/>
          <c:y val="0.236622332199196"/>
          <c:w val="0.897000592768228"/>
          <c:h val="0.536158366841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三月/GB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  <a:ln w="12700" cmpd="sng">
              <a:solidFill>
                <a:srgbClr val="8BCB7E">
                  <a:alpha val="79000"/>
                </a:srgbClr>
              </a:solidFill>
              <a:prstDash val="solid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153969</c:v>
                </c:pt>
                <c:pt idx="1">
                  <c:v>124192</c:v>
                </c:pt>
                <c:pt idx="2">
                  <c:v>90383</c:v>
                </c:pt>
                <c:pt idx="3">
                  <c:v>90840</c:v>
                </c:pt>
                <c:pt idx="4">
                  <c:v>92719</c:v>
                </c:pt>
                <c:pt idx="5">
                  <c:v>105591</c:v>
                </c:pt>
                <c:pt idx="6">
                  <c:v>131348</c:v>
                </c:pt>
                <c:pt idx="7">
                  <c:v>112574</c:v>
                </c:pt>
                <c:pt idx="8">
                  <c:v>94623</c:v>
                </c:pt>
                <c:pt idx="9">
                  <c:v>106043</c:v>
                </c:pt>
                <c:pt idx="10">
                  <c:v>111093</c:v>
                </c:pt>
                <c:pt idx="11">
                  <c:v>124895</c:v>
                </c:pt>
                <c:pt idx="12">
                  <c:v>136356</c:v>
                </c:pt>
                <c:pt idx="13">
                  <c:v>121510</c:v>
                </c:pt>
                <c:pt idx="14">
                  <c:v>133310</c:v>
                </c:pt>
              </c:numCache>
            </c:numRef>
          </c:val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四月/GB</c:v>
                </c:pt>
              </c:strCache>
            </c:strRef>
          </c:tx>
          <c:spPr>
            <a:solidFill>
              <a:schemeClr val="accent2"/>
            </a:solidFill>
            <a:ln w="12700" cmpd="sng">
              <a:solidFill>
                <a:srgbClr val="FF6600"/>
              </a:solidFill>
              <a:prstDash val="solid"/>
            </a:ln>
            <a:effectLst/>
          </c:spPr>
          <c:invertIfNegative val="0"/>
          <c:dLbls>
            <c:dLbl>
              <c:idx val="4"/>
              <c:layout>
                <c:manualLayout>
                  <c:x val="0"/>
                  <c:y val="0.03773584905660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0.0048606994665086"/>
                  <c:y val="-0.02103309619548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Sheet1!$E$2:$E$16</c:f>
              <c:numCache>
                <c:formatCode>General</c:formatCode>
                <c:ptCount val="15"/>
                <c:pt idx="0">
                  <c:v>129088</c:v>
                </c:pt>
                <c:pt idx="1">
                  <c:v>146942</c:v>
                </c:pt>
                <c:pt idx="2">
                  <c:v>133889</c:v>
                </c:pt>
                <c:pt idx="3">
                  <c:v>122708</c:v>
                </c:pt>
                <c:pt idx="4">
                  <c:v>90768</c:v>
                </c:pt>
                <c:pt idx="5">
                  <c:v>79292</c:v>
                </c:pt>
                <c:pt idx="6">
                  <c:v>98048</c:v>
                </c:pt>
                <c:pt idx="7">
                  <c:v>130838</c:v>
                </c:pt>
                <c:pt idx="8">
                  <c:v>119050</c:v>
                </c:pt>
                <c:pt idx="9">
                  <c:v>83394</c:v>
                </c:pt>
                <c:pt idx="10">
                  <c:v>84115</c:v>
                </c:pt>
                <c:pt idx="11">
                  <c:v>84000</c:v>
                </c:pt>
                <c:pt idx="12">
                  <c:v>84134</c:v>
                </c:pt>
                <c:pt idx="13">
                  <c:v>103004</c:v>
                </c:pt>
                <c:pt idx="14">
                  <c:v>140701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0"/>
        <c:axId val="853542786"/>
        <c:axId val="650200472"/>
      </c:barChart>
      <c:catAx>
        <c:axId val="8535427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200472"/>
        <c:crosses val="autoZero"/>
        <c:auto val="1"/>
        <c:lblAlgn val="ctr"/>
        <c:lblOffset val="100"/>
        <c:noMultiLvlLbl val="0"/>
      </c:catAx>
      <c:valAx>
        <c:axId val="6502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535427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四月后半个月流量分析折线图</a:t>
            </a:r>
            <a:r>
              <a:rPr lang="en-US" altLang="zh-CN"/>
              <a:t>/GB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176052163604"/>
          <c:y val="0.236622332199196"/>
          <c:w val="0.897000592768228"/>
          <c:h val="0.536158366841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三月/GB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  <a:ln w="12700" cmpd="sng">
              <a:solidFill>
                <a:srgbClr val="8BCB7E">
                  <a:alpha val="79000"/>
                </a:srgbClr>
              </a:solidFill>
              <a:prstDash val="solid"/>
            </a:ln>
            <a:effectLst/>
          </c:spPr>
          <c:invertIfNegative val="0"/>
          <c:dLbls>
            <c:dLbl>
              <c:idx val="1"/>
              <c:layout>
                <c:manualLayout>
                  <c:x val="0.003556609365738"/>
                  <c:y val="0.027837921435199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方正姚体" panose="02010601030101010101" charset="-122"/>
                      <a:ea typeface="方正姚体" panose="02010601030101010101" charset="-122"/>
                      <a:cs typeface="方正姚体" panose="02010601030101010101" charset="-122"/>
                      <a:sym typeface="方正姚体" panose="02010601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0.00711321873147599"/>
                  <c:y val="0.027837921435199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方正姚体" panose="02010601030101010101" charset="-122"/>
                      <a:ea typeface="方正姚体" panose="02010601030101010101" charset="-122"/>
                      <a:cs typeface="方正姚体" panose="02010601030101010101" charset="-122"/>
                      <a:sym typeface="方正姚体" panose="02010601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  <c:pt idx="12">
                  <c:v>28</c:v>
                </c:pt>
                <c:pt idx="13">
                  <c:v>29</c:v>
                </c:pt>
                <c:pt idx="14">
                  <c:v>30</c:v>
                </c:pt>
                <c:pt idx="15">
                  <c:v>31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102403</c:v>
                </c:pt>
                <c:pt idx="1">
                  <c:v>117778</c:v>
                </c:pt>
                <c:pt idx="2">
                  <c:v>156964</c:v>
                </c:pt>
                <c:pt idx="3">
                  <c:v>125081</c:v>
                </c:pt>
                <c:pt idx="4">
                  <c:v>94921</c:v>
                </c:pt>
                <c:pt idx="5">
                  <c:v>94436</c:v>
                </c:pt>
                <c:pt idx="6">
                  <c:v>94948</c:v>
                </c:pt>
                <c:pt idx="7">
                  <c:v>89429</c:v>
                </c:pt>
                <c:pt idx="8">
                  <c:v>115570</c:v>
                </c:pt>
                <c:pt idx="9">
                  <c:v>152277</c:v>
                </c:pt>
                <c:pt idx="10">
                  <c:v>124821</c:v>
                </c:pt>
                <c:pt idx="11">
                  <c:v>86954</c:v>
                </c:pt>
                <c:pt idx="12">
                  <c:v>90713</c:v>
                </c:pt>
                <c:pt idx="13">
                  <c:v>99032</c:v>
                </c:pt>
                <c:pt idx="14">
                  <c:v>115633</c:v>
                </c:pt>
                <c:pt idx="15">
                  <c:v>111620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四月/GB</c:v>
                </c:pt>
              </c:strCache>
            </c:strRef>
          </c:tx>
          <c:spPr>
            <a:solidFill>
              <a:schemeClr val="accent2"/>
            </a:solidFill>
            <a:ln w="12700" cmpd="sng">
              <a:solidFill>
                <a:srgbClr val="FF6600"/>
              </a:solidFill>
              <a:prstDash val="solid"/>
            </a:ln>
            <a:effectLst/>
          </c:spPr>
          <c:invertIfNegative val="0"/>
          <c:dLbls>
            <c:dLbl>
              <c:idx val="4"/>
              <c:layout>
                <c:manualLayout>
                  <c:x val="0"/>
                  <c:y val="0.03773584905660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"/>
                  <c:y val="-0.027837921435199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方正姚体" panose="02010601030101010101" charset="-122"/>
                      <a:ea typeface="方正姚体" panose="02010601030101010101" charset="-122"/>
                      <a:cs typeface="方正姚体" panose="02010601030101010101" charset="-122"/>
                      <a:sym typeface="方正姚体" panose="02010601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3556609365738"/>
                  <c:y val="0.03247757500773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方正姚体" panose="02010601030101010101" charset="-122"/>
                      <a:ea typeface="方正姚体" panose="02010601030101010101" charset="-122"/>
                      <a:cs typeface="方正姚体" panose="02010601030101010101" charset="-122"/>
                      <a:sym typeface="方正姚体" panose="02010601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0.0048606994665086"/>
                  <c:y val="-0.02103309619548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  <c:pt idx="12">
                  <c:v>28</c:v>
                </c:pt>
                <c:pt idx="13">
                  <c:v>29</c:v>
                </c:pt>
                <c:pt idx="14">
                  <c:v>30</c:v>
                </c:pt>
                <c:pt idx="15">
                  <c:v>31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122179</c:v>
                </c:pt>
                <c:pt idx="1">
                  <c:v>80455</c:v>
                </c:pt>
                <c:pt idx="2">
                  <c:v>85590</c:v>
                </c:pt>
                <c:pt idx="3">
                  <c:v>86268</c:v>
                </c:pt>
                <c:pt idx="4">
                  <c:v>81968</c:v>
                </c:pt>
                <c:pt idx="5">
                  <c:v>101949</c:v>
                </c:pt>
                <c:pt idx="6">
                  <c:v>130924</c:v>
                </c:pt>
                <c:pt idx="7">
                  <c:v>114142</c:v>
                </c:pt>
                <c:pt idx="8">
                  <c:v>75784</c:v>
                </c:pt>
                <c:pt idx="9">
                  <c:v>81987</c:v>
                </c:pt>
                <c:pt idx="10">
                  <c:v>80624</c:v>
                </c:pt>
                <c:pt idx="11">
                  <c:v>82040</c:v>
                </c:pt>
                <c:pt idx="12">
                  <c:v>107710</c:v>
                </c:pt>
                <c:pt idx="13">
                  <c:v>145221</c:v>
                </c:pt>
                <c:pt idx="14">
                  <c:v>139908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0"/>
        <c:axId val="853542786"/>
        <c:axId val="650200472"/>
      </c:barChart>
      <c:catAx>
        <c:axId val="8535427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200472"/>
        <c:crosses val="autoZero"/>
        <c:auto val="1"/>
        <c:lblAlgn val="ctr"/>
        <c:lblOffset val="100"/>
        <c:noMultiLvlLbl val="0"/>
      </c:catAx>
      <c:valAx>
        <c:axId val="6502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535427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四月各省流量/比例</a:t>
            </a:r>
            <a:endParaRPr sz="1000"/>
          </a:p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sz="1000"/>
          </a:p>
        </c:rich>
      </c:tx>
      <c:layout>
        <c:manualLayout>
          <c:xMode val="edge"/>
          <c:yMode val="edge"/>
          <c:x val="0.0225625"/>
          <c:y val="0.033482142857142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3475"/>
          <c:y val="0.169642857142857"/>
          <c:w val="0.27525"/>
          <c:h val="0.81919642857142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四月流量/GB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Sheet1!$A$2:$A$36</c:f>
              <c:strCache>
                <c:ptCount val="35"/>
                <c:pt idx="0">
                  <c:v>广东</c:v>
                </c:pt>
                <c:pt idx="1">
                  <c:v>江苏</c:v>
                </c:pt>
                <c:pt idx="2">
                  <c:v>四川</c:v>
                </c:pt>
                <c:pt idx="3">
                  <c:v>山东</c:v>
                </c:pt>
                <c:pt idx="4">
                  <c:v>广西</c:v>
                </c:pt>
                <c:pt idx="5">
                  <c:v>河南</c:v>
                </c:pt>
                <c:pt idx="6">
                  <c:v>云南</c:v>
                </c:pt>
                <c:pt idx="7">
                  <c:v>河北</c:v>
                </c:pt>
                <c:pt idx="8">
                  <c:v>湖南</c:v>
                </c:pt>
                <c:pt idx="9">
                  <c:v>安徽</c:v>
                </c:pt>
                <c:pt idx="10">
                  <c:v>陕西</c:v>
                </c:pt>
                <c:pt idx="11">
                  <c:v>辽宁</c:v>
                </c:pt>
                <c:pt idx="12">
                  <c:v>江西</c:v>
                </c:pt>
                <c:pt idx="13">
                  <c:v>浙江</c:v>
                </c:pt>
                <c:pt idx="14">
                  <c:v>湖北</c:v>
                </c:pt>
                <c:pt idx="15">
                  <c:v>其他</c:v>
                </c:pt>
                <c:pt idx="16">
                  <c:v>贵州</c:v>
                </c:pt>
                <c:pt idx="17">
                  <c:v>黑龙江</c:v>
                </c:pt>
                <c:pt idx="18">
                  <c:v>海南</c:v>
                </c:pt>
                <c:pt idx="19">
                  <c:v>福建</c:v>
                </c:pt>
                <c:pt idx="20">
                  <c:v>山西</c:v>
                </c:pt>
                <c:pt idx="21">
                  <c:v>甘肃</c:v>
                </c:pt>
                <c:pt idx="22">
                  <c:v>上海</c:v>
                </c:pt>
                <c:pt idx="23">
                  <c:v>北京</c:v>
                </c:pt>
                <c:pt idx="24">
                  <c:v>重庆</c:v>
                </c:pt>
                <c:pt idx="25">
                  <c:v>内蒙古</c:v>
                </c:pt>
                <c:pt idx="26">
                  <c:v>吉林</c:v>
                </c:pt>
                <c:pt idx="27">
                  <c:v>新疆</c:v>
                </c:pt>
                <c:pt idx="28">
                  <c:v>天津</c:v>
                </c:pt>
                <c:pt idx="29">
                  <c:v>宁夏</c:v>
                </c:pt>
                <c:pt idx="30">
                  <c:v>青海</c:v>
                </c:pt>
                <c:pt idx="31">
                  <c:v>海外</c:v>
                </c:pt>
                <c:pt idx="32">
                  <c:v>西藏</c:v>
                </c:pt>
                <c:pt idx="33">
                  <c:v>香港</c:v>
                </c:pt>
                <c:pt idx="34">
                  <c:v>澳门台湾</c:v>
                </c:pt>
              </c:strCache>
            </c:str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1048337</c:v>
                </c:pt>
                <c:pt idx="1">
                  <c:v>567042</c:v>
                </c:pt>
                <c:pt idx="2">
                  <c:v>346868</c:v>
                </c:pt>
                <c:pt idx="3">
                  <c:v>337543</c:v>
                </c:pt>
                <c:pt idx="4">
                  <c:v>336840</c:v>
                </c:pt>
                <c:pt idx="5">
                  <c:v>323992</c:v>
                </c:pt>
                <c:pt idx="6">
                  <c:v>273784</c:v>
                </c:pt>
                <c:pt idx="7">
                  <c:v>253100</c:v>
                </c:pt>
                <c:pt idx="8">
                  <c:v>247018</c:v>
                </c:pt>
                <c:pt idx="9">
                  <c:v>237513</c:v>
                </c:pt>
                <c:pt idx="10">
                  <c:v>231008</c:v>
                </c:pt>
                <c:pt idx="11">
                  <c:v>219183</c:v>
                </c:pt>
                <c:pt idx="12">
                  <c:v>218347</c:v>
                </c:pt>
                <c:pt idx="13">
                  <c:v>213062</c:v>
                </c:pt>
                <c:pt idx="14">
                  <c:v>195552</c:v>
                </c:pt>
                <c:pt idx="15">
                  <c:v>192441</c:v>
                </c:pt>
                <c:pt idx="16">
                  <c:v>173052</c:v>
                </c:pt>
                <c:pt idx="17">
                  <c:v>150521</c:v>
                </c:pt>
                <c:pt idx="18">
                  <c:v>120932</c:v>
                </c:pt>
                <c:pt idx="19">
                  <c:v>118021</c:v>
                </c:pt>
                <c:pt idx="20">
                  <c:v>115718</c:v>
                </c:pt>
                <c:pt idx="21">
                  <c:v>111679</c:v>
                </c:pt>
                <c:pt idx="22">
                  <c:v>91261</c:v>
                </c:pt>
                <c:pt idx="23">
                  <c:v>89179</c:v>
                </c:pt>
                <c:pt idx="24">
                  <c:v>81030</c:v>
                </c:pt>
                <c:pt idx="25">
                  <c:v>55697</c:v>
                </c:pt>
                <c:pt idx="26">
                  <c:v>55355</c:v>
                </c:pt>
                <c:pt idx="27">
                  <c:v>45135</c:v>
                </c:pt>
                <c:pt idx="28">
                  <c:v>44770</c:v>
                </c:pt>
                <c:pt idx="29">
                  <c:v>28543</c:v>
                </c:pt>
                <c:pt idx="30">
                  <c:v>25676</c:v>
                </c:pt>
                <c:pt idx="31">
                  <c:v>20478</c:v>
                </c:pt>
                <c:pt idx="32">
                  <c:v>8368</c:v>
                </c:pt>
                <c:pt idx="33">
                  <c:v>2039</c:v>
                </c:pt>
                <c:pt idx="34">
                  <c:v>1358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4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5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6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7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8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9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4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5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6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7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8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9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4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5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6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7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8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9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4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ayout>
        <c:manualLayout>
          <c:xMode val="edge"/>
          <c:yMode val="edge"/>
          <c:x val="0.36825"/>
          <c:y val="0.0647321428571429"/>
          <c:w val="0.588625"/>
          <c:h val="0.84040178571428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新宋体" panose="02010609030101010101" charset="-122"/>
              <a:ea typeface="新宋体" panose="02010609030101010101" charset="-122"/>
              <a:cs typeface="新宋体" panose="02010609030101010101" charset="-122"/>
              <a:sym typeface="新宋体" panose="02010609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MM</a:t>
            </a:r>
            <a:r>
              <a:rPr altLang="en-US"/>
              <a:t>商城运营商</a:t>
            </a:r>
            <a:r>
              <a:t>流量分析/GB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流量/GB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3"/>
              <c:layout>
                <c:manualLayout>
                  <c:x val="-0.0371809946214543"/>
                  <c:y val="-0.042389281618510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电信</c:v>
                </c:pt>
                <c:pt idx="1">
                  <c:v>移动</c:v>
                </c:pt>
                <c:pt idx="2">
                  <c:v>联通</c:v>
                </c:pt>
                <c:pt idx="3">
                  <c:v>其他</c:v>
                </c:pt>
                <c:pt idx="4">
                  <c:v>电信通</c:v>
                </c:pt>
                <c:pt idx="5">
                  <c:v>铁通</c:v>
                </c:pt>
                <c:pt idx="6">
                  <c:v>教育网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2562179</c:v>
                </c:pt>
                <c:pt idx="1">
                  <c:v>2361465</c:v>
                </c:pt>
                <c:pt idx="2">
                  <c:v>1164291</c:v>
                </c:pt>
                <c:pt idx="3">
                  <c:v>329697</c:v>
                </c:pt>
                <c:pt idx="4">
                  <c:v>82923</c:v>
                </c:pt>
                <c:pt idx="5">
                  <c:v>71282</c:v>
                </c:pt>
                <c:pt idx="6">
                  <c:v>8618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四月前半个月流量分析折线图</a:t>
            </a:r>
            <a:r>
              <a:rPr lang="en-US" altLang="zh-CN"/>
              <a:t>/GB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176052163604"/>
          <c:y val="0.236622332199196"/>
          <c:w val="0.897000592768228"/>
          <c:h val="0.536158366841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三月/GB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  <a:ln w="12700" cmpd="sng">
              <a:solidFill>
                <a:srgbClr val="8BCB7E">
                  <a:alpha val="79000"/>
                </a:srgbClr>
              </a:solidFill>
              <a:prstDash val="solid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937</c:v>
                </c:pt>
                <c:pt idx="1">
                  <c:v>788</c:v>
                </c:pt>
                <c:pt idx="2">
                  <c:v>673</c:v>
                </c:pt>
                <c:pt idx="3">
                  <c:v>577</c:v>
                </c:pt>
                <c:pt idx="4">
                  <c:v>504</c:v>
                </c:pt>
                <c:pt idx="5">
                  <c:v>603</c:v>
                </c:pt>
                <c:pt idx="6">
                  <c:v>630</c:v>
                </c:pt>
                <c:pt idx="7">
                  <c:v>573</c:v>
                </c:pt>
                <c:pt idx="8">
                  <c:v>573</c:v>
                </c:pt>
                <c:pt idx="9">
                  <c:v>581</c:v>
                </c:pt>
                <c:pt idx="10">
                  <c:v>373</c:v>
                </c:pt>
                <c:pt idx="11">
                  <c:v>208</c:v>
                </c:pt>
                <c:pt idx="12">
                  <c:v>315</c:v>
                </c:pt>
                <c:pt idx="13">
                  <c:v>357</c:v>
                </c:pt>
                <c:pt idx="14">
                  <c:v>298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四月/GB</c:v>
                </c:pt>
              </c:strCache>
            </c:strRef>
          </c:tx>
          <c:spPr>
            <a:solidFill>
              <a:schemeClr val="accent2"/>
            </a:solidFill>
            <a:ln w="12700" cmpd="sng">
              <a:solidFill>
                <a:srgbClr val="FF6600"/>
              </a:solidFill>
              <a:prstDash val="solid"/>
            </a:ln>
            <a:effectLst/>
          </c:spPr>
          <c:invertIfNegative val="0"/>
          <c:dLbls>
            <c:dLbl>
              <c:idx val="4"/>
              <c:layout>
                <c:manualLayout>
                  <c:x val="0"/>
                  <c:y val="0.03773584905660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0.0048606994665086"/>
                  <c:y val="-0.02103309619548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700</c:v>
                </c:pt>
                <c:pt idx="1">
                  <c:v>404</c:v>
                </c:pt>
                <c:pt idx="2">
                  <c:v>430</c:v>
                </c:pt>
                <c:pt idx="3">
                  <c:v>461</c:v>
                </c:pt>
                <c:pt idx="4">
                  <c:v>1195</c:v>
                </c:pt>
                <c:pt idx="5">
                  <c:v>981</c:v>
                </c:pt>
                <c:pt idx="6">
                  <c:v>975</c:v>
                </c:pt>
                <c:pt idx="7">
                  <c:v>791</c:v>
                </c:pt>
                <c:pt idx="8">
                  <c:v>762</c:v>
                </c:pt>
                <c:pt idx="9">
                  <c:v>975</c:v>
                </c:pt>
                <c:pt idx="10">
                  <c:v>888</c:v>
                </c:pt>
                <c:pt idx="11">
                  <c:v>1055</c:v>
                </c:pt>
                <c:pt idx="12">
                  <c:v>1258</c:v>
                </c:pt>
                <c:pt idx="13">
                  <c:v>1065</c:v>
                </c:pt>
                <c:pt idx="14">
                  <c:v>675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0"/>
        <c:axId val="853542786"/>
        <c:axId val="650200472"/>
      </c:barChart>
      <c:catAx>
        <c:axId val="8535427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200472"/>
        <c:crosses val="autoZero"/>
        <c:auto val="1"/>
        <c:lblAlgn val="ctr"/>
        <c:lblOffset val="100"/>
        <c:noMultiLvlLbl val="0"/>
      </c:catAx>
      <c:valAx>
        <c:axId val="6502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535427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四月后半个月流量分析折线图</a:t>
            </a:r>
            <a:r>
              <a:rPr lang="en-US" altLang="zh-CN"/>
              <a:t>/GB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176052163604"/>
          <c:y val="0.236622332199196"/>
          <c:w val="0.897000592768228"/>
          <c:h val="0.536158366841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三月/GB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  <a:ln w="12700" cmpd="sng">
              <a:solidFill>
                <a:srgbClr val="8BCB7E">
                  <a:alpha val="79000"/>
                </a:srgbClr>
              </a:solidFill>
              <a:prstDash val="solid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  <c:pt idx="12">
                  <c:v>28</c:v>
                </c:pt>
                <c:pt idx="13">
                  <c:v>29</c:v>
                </c:pt>
                <c:pt idx="14">
                  <c:v>30</c:v>
                </c:pt>
                <c:pt idx="15">
                  <c:v>31</c:v>
                </c:pt>
              </c:numCache>
            </c:num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375</c:v>
                </c:pt>
                <c:pt idx="1">
                  <c:v>357</c:v>
                </c:pt>
                <c:pt idx="2">
                  <c:v>289</c:v>
                </c:pt>
                <c:pt idx="3">
                  <c:v>247</c:v>
                </c:pt>
                <c:pt idx="4">
                  <c:v>345</c:v>
                </c:pt>
                <c:pt idx="5">
                  <c:v>289</c:v>
                </c:pt>
                <c:pt idx="6">
                  <c:v>317</c:v>
                </c:pt>
                <c:pt idx="7">
                  <c:v>322</c:v>
                </c:pt>
                <c:pt idx="8">
                  <c:v>341</c:v>
                </c:pt>
                <c:pt idx="9">
                  <c:v>269</c:v>
                </c:pt>
                <c:pt idx="10">
                  <c:v>269</c:v>
                </c:pt>
                <c:pt idx="11">
                  <c:v>576</c:v>
                </c:pt>
                <c:pt idx="12">
                  <c:v>688</c:v>
                </c:pt>
                <c:pt idx="13">
                  <c:v>1341</c:v>
                </c:pt>
                <c:pt idx="14">
                  <c:v>883</c:v>
                </c:pt>
                <c:pt idx="15">
                  <c:v>745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四月/GB</c:v>
                </c:pt>
              </c:strCache>
            </c:strRef>
          </c:tx>
          <c:spPr>
            <a:solidFill>
              <a:schemeClr val="accent2"/>
            </a:solidFill>
            <a:ln w="12700" cmpd="sng">
              <a:solidFill>
                <a:srgbClr val="FF6600"/>
              </a:solidFill>
              <a:prstDash val="solid"/>
            </a:ln>
            <a:effectLst/>
          </c:spPr>
          <c:invertIfNegative val="0"/>
          <c:dLbls>
            <c:dLbl>
              <c:idx val="4"/>
              <c:layout>
                <c:manualLayout>
                  <c:x val="0"/>
                  <c:y val="0.03773584905660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0.0048606994665086"/>
                  <c:y val="-0.02103309619548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  <c:pt idx="12">
                  <c:v>28</c:v>
                </c:pt>
                <c:pt idx="13">
                  <c:v>29</c:v>
                </c:pt>
                <c:pt idx="14">
                  <c:v>30</c:v>
                </c:pt>
                <c:pt idx="15">
                  <c:v>31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641</c:v>
                </c:pt>
                <c:pt idx="1">
                  <c:v>982</c:v>
                </c:pt>
                <c:pt idx="2">
                  <c:v>952</c:v>
                </c:pt>
                <c:pt idx="3">
                  <c:v>1058</c:v>
                </c:pt>
                <c:pt idx="4">
                  <c:v>650</c:v>
                </c:pt>
                <c:pt idx="5">
                  <c:v>516</c:v>
                </c:pt>
                <c:pt idx="6">
                  <c:v>433</c:v>
                </c:pt>
                <c:pt idx="7">
                  <c:v>415</c:v>
                </c:pt>
                <c:pt idx="8">
                  <c:v>469</c:v>
                </c:pt>
                <c:pt idx="9">
                  <c:v>455</c:v>
                </c:pt>
                <c:pt idx="10">
                  <c:v>767</c:v>
                </c:pt>
                <c:pt idx="11">
                  <c:v>647</c:v>
                </c:pt>
                <c:pt idx="12">
                  <c:v>888</c:v>
                </c:pt>
                <c:pt idx="13">
                  <c:v>699</c:v>
                </c:pt>
                <c:pt idx="14">
                  <c:v>859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0"/>
        <c:axId val="853542786"/>
        <c:axId val="650200472"/>
      </c:barChart>
      <c:catAx>
        <c:axId val="8535427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200472"/>
        <c:crosses val="autoZero"/>
        <c:auto val="1"/>
        <c:lblAlgn val="ctr"/>
        <c:lblOffset val="100"/>
        <c:noMultiLvlLbl val="0"/>
      </c:catAx>
      <c:valAx>
        <c:axId val="6502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535427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四月后半个月流量分析折线图</a:t>
            </a:r>
            <a:r>
              <a:rPr lang="en-US" altLang="zh-CN"/>
              <a:t>/GB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176052163604"/>
          <c:y val="0.236622332199196"/>
          <c:w val="0.897000592768228"/>
          <c:h val="0.5274976801732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三月/GB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  <a:ln w="12700" cmpd="sng">
              <a:solidFill>
                <a:srgbClr val="8BCB7E">
                  <a:alpha val="79000"/>
                </a:srgbClr>
              </a:solidFill>
              <a:prstDash val="solid"/>
            </a:ln>
            <a:effectLst/>
          </c:spPr>
          <c:invertIfNegative val="0"/>
          <c:dLbls>
            <c:dLbl>
              <c:idx val="1"/>
              <c:layout>
                <c:manualLayout>
                  <c:x val="0.00972139893301719"/>
                  <c:y val="0.021033096195484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方正姚体" panose="02010601030101010101" charset="-122"/>
                      <a:ea typeface="方正姚体" panose="02010601030101010101" charset="-122"/>
                      <a:cs typeface="方正姚体" panose="02010601030101010101" charset="-122"/>
                      <a:sym typeface="方正姚体" panose="02010601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Sheet1!$A$17:$A$32</c:f>
              <c:numCache>
                <c:formatCode>General</c:formatCode>
                <c:ptCount val="16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  <c:pt idx="12">
                  <c:v>28</c:v>
                </c:pt>
                <c:pt idx="13">
                  <c:v>29</c:v>
                </c:pt>
                <c:pt idx="14">
                  <c:v>30</c:v>
                </c:pt>
                <c:pt idx="15">
                  <c:v>31</c:v>
                </c:pt>
              </c:numCache>
            </c:numRef>
          </c:cat>
          <c:val>
            <c:numRef>
              <c:f>Sheet1!$D$17:$D$32</c:f>
              <c:numCache>
                <c:formatCode>General</c:formatCode>
                <c:ptCount val="16"/>
                <c:pt idx="0">
                  <c:v>116976</c:v>
                </c:pt>
                <c:pt idx="1">
                  <c:v>130899</c:v>
                </c:pt>
                <c:pt idx="2">
                  <c:v>145871</c:v>
                </c:pt>
                <c:pt idx="3">
                  <c:v>151098</c:v>
                </c:pt>
                <c:pt idx="4">
                  <c:v>155332</c:v>
                </c:pt>
                <c:pt idx="5">
                  <c:v>152919</c:v>
                </c:pt>
                <c:pt idx="6">
                  <c:v>148214</c:v>
                </c:pt>
                <c:pt idx="7">
                  <c:v>145391</c:v>
                </c:pt>
                <c:pt idx="8">
                  <c:v>146270</c:v>
                </c:pt>
                <c:pt idx="9">
                  <c:v>152247</c:v>
                </c:pt>
                <c:pt idx="10">
                  <c:v>148364</c:v>
                </c:pt>
                <c:pt idx="11">
                  <c:v>146228</c:v>
                </c:pt>
                <c:pt idx="12">
                  <c:v>130370</c:v>
                </c:pt>
                <c:pt idx="13">
                  <c:v>125260</c:v>
                </c:pt>
                <c:pt idx="14">
                  <c:v>121486</c:v>
                </c:pt>
                <c:pt idx="15">
                  <c:v>120603</c:v>
                </c:pt>
              </c:numCache>
            </c:numRef>
          </c:val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四月/GB</c:v>
                </c:pt>
              </c:strCache>
            </c:strRef>
          </c:tx>
          <c:spPr>
            <a:solidFill>
              <a:schemeClr val="accent2"/>
            </a:solidFill>
            <a:ln w="12700" cmpd="sng">
              <a:solidFill>
                <a:srgbClr val="FF6600"/>
              </a:solidFill>
              <a:prstDash val="solid"/>
            </a:ln>
            <a:effectLst/>
          </c:spPr>
          <c:invertIfNegative val="0"/>
          <c:dLbls>
            <c:dLbl>
              <c:idx val="0"/>
              <c:layout>
                <c:manualLayout>
                  <c:x val="0.00960284528749259"/>
                  <c:y val="-0.025054129291679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方正姚体" panose="02010601030101010101" charset="-122"/>
                      <a:ea typeface="方正姚体" panose="02010601030101010101" charset="-122"/>
                      <a:cs typeface="方正姚体" panose="02010601030101010101" charset="-122"/>
                      <a:sym typeface="方正姚体" panose="02010601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"/>
                  <c:y val="0.03773584905660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Sheet1!$A$17:$A$32</c:f>
              <c:numCache>
                <c:formatCode>General</c:formatCode>
                <c:ptCount val="16"/>
                <c:pt idx="0">
                  <c:v>16</c:v>
                </c:pt>
                <c:pt idx="1">
                  <c:v>17</c:v>
                </c:pt>
                <c:pt idx="2">
                  <c:v>18</c:v>
                </c:pt>
                <c:pt idx="3">
                  <c:v>19</c:v>
                </c:pt>
                <c:pt idx="4">
                  <c:v>20</c:v>
                </c:pt>
                <c:pt idx="5">
                  <c:v>21</c:v>
                </c:pt>
                <c:pt idx="6">
                  <c:v>22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26</c:v>
                </c:pt>
                <c:pt idx="11">
                  <c:v>27</c:v>
                </c:pt>
                <c:pt idx="12">
                  <c:v>28</c:v>
                </c:pt>
                <c:pt idx="13">
                  <c:v>29</c:v>
                </c:pt>
                <c:pt idx="14">
                  <c:v>30</c:v>
                </c:pt>
                <c:pt idx="15">
                  <c:v>31</c:v>
                </c:pt>
              </c:numCache>
            </c:numRef>
          </c:cat>
          <c:val>
            <c:numRef>
              <c:f>Sheet1!$E$17:$E$32</c:f>
              <c:numCache>
                <c:formatCode>General</c:formatCode>
                <c:ptCount val="16"/>
                <c:pt idx="0">
                  <c:v>125240</c:v>
                </c:pt>
                <c:pt idx="1">
                  <c:v>84190</c:v>
                </c:pt>
                <c:pt idx="2">
                  <c:v>89050</c:v>
                </c:pt>
                <c:pt idx="3">
                  <c:v>89925</c:v>
                </c:pt>
                <c:pt idx="4">
                  <c:v>85312</c:v>
                </c:pt>
                <c:pt idx="5">
                  <c:v>105342</c:v>
                </c:pt>
                <c:pt idx="6">
                  <c:v>133913</c:v>
                </c:pt>
                <c:pt idx="7">
                  <c:v>117070</c:v>
                </c:pt>
                <c:pt idx="8">
                  <c:v>78901</c:v>
                </c:pt>
                <c:pt idx="9">
                  <c:v>85165</c:v>
                </c:pt>
                <c:pt idx="10">
                  <c:v>83988</c:v>
                </c:pt>
                <c:pt idx="11">
                  <c:v>84983</c:v>
                </c:pt>
                <c:pt idx="12">
                  <c:v>111771</c:v>
                </c:pt>
                <c:pt idx="13">
                  <c:v>149311</c:v>
                </c:pt>
                <c:pt idx="14">
                  <c:v>143553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0"/>
        <c:axId val="853542786"/>
        <c:axId val="650200472"/>
      </c:barChart>
      <c:catAx>
        <c:axId val="8535427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200472"/>
        <c:crosses val="autoZero"/>
        <c:auto val="1"/>
        <c:lblAlgn val="ctr"/>
        <c:lblOffset val="100"/>
        <c:noMultiLvlLbl val="0"/>
      </c:catAx>
      <c:valAx>
        <c:axId val="6502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535427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一月各省流量</a:t>
            </a:r>
            <a:r>
              <a:rPr lang="en-US" altLang="zh-CN" sz="1000"/>
              <a:t>/</a:t>
            </a:r>
            <a:r>
              <a:rPr altLang="en-US" sz="1000"/>
              <a:t>比例</a:t>
            </a:r>
            <a:endParaRPr altLang="en-US" sz="1000"/>
          </a:p>
        </c:rich>
      </c:tx>
      <c:layout>
        <c:manualLayout>
          <c:xMode val="edge"/>
          <c:yMode val="edge"/>
          <c:x val="0.197214904027098"/>
          <c:y val="0.01133358519078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3876552502823"/>
          <c:y val="0.12202493388742"/>
          <c:w val="0.863379751599548"/>
          <c:h val="0.866641480921798"/>
        </c:manualLayout>
      </c:layout>
      <c:doughnut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A5A5A5"/>
              </a:solidFill>
              <a:ln w="19050">
                <a:solidFill>
                  <a:schemeClr val="lt1">
                    <a:alpha val="94000"/>
                  </a:schemeClr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70AD47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ED7D3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rgbClr val="4472C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rgbClr val="9E480E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rgbClr val="63636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rgbClr val="255E9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rgbClr val="9973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rgbClr val="FFCD3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rgbClr val="7CAFDD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rgbClr val="698ED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rgbClr val="FFCD3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rgbClr val="D2601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rgbClr val="327DC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rgbClr val="84848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5"/>
              <c:layout>
                <c:manualLayout>
                  <c:x val="0.00564546480993602"/>
                  <c:y val="0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Sheet1!$A$2:$A$36</c:f>
              <c:strCache>
                <c:ptCount val="35"/>
                <c:pt idx="0">
                  <c:v>广东</c:v>
                </c:pt>
                <c:pt idx="1">
                  <c:v>四川</c:v>
                </c:pt>
                <c:pt idx="2">
                  <c:v>山东</c:v>
                </c:pt>
                <c:pt idx="3">
                  <c:v>广西</c:v>
                </c:pt>
                <c:pt idx="4">
                  <c:v>江苏</c:v>
                </c:pt>
                <c:pt idx="5">
                  <c:v>河南</c:v>
                </c:pt>
                <c:pt idx="6">
                  <c:v>河北</c:v>
                </c:pt>
                <c:pt idx="7">
                  <c:v>湖南</c:v>
                </c:pt>
                <c:pt idx="8">
                  <c:v>云南</c:v>
                </c:pt>
                <c:pt idx="9">
                  <c:v>安徽</c:v>
                </c:pt>
                <c:pt idx="10">
                  <c:v>陕西</c:v>
                </c:pt>
                <c:pt idx="11">
                  <c:v>江西</c:v>
                </c:pt>
                <c:pt idx="12">
                  <c:v>辽宁</c:v>
                </c:pt>
                <c:pt idx="13">
                  <c:v>湖北</c:v>
                </c:pt>
                <c:pt idx="14">
                  <c:v>黑龙江</c:v>
                </c:pt>
                <c:pt idx="15">
                  <c:v>其他</c:v>
                </c:pt>
                <c:pt idx="16">
                  <c:v>海南</c:v>
                </c:pt>
                <c:pt idx="17">
                  <c:v>贵州</c:v>
                </c:pt>
                <c:pt idx="18">
                  <c:v>浙江</c:v>
                </c:pt>
                <c:pt idx="19">
                  <c:v>甘肃</c:v>
                </c:pt>
                <c:pt idx="20">
                  <c:v>山西</c:v>
                </c:pt>
                <c:pt idx="21">
                  <c:v>福建</c:v>
                </c:pt>
                <c:pt idx="22">
                  <c:v>重庆</c:v>
                </c:pt>
                <c:pt idx="23">
                  <c:v>北京</c:v>
                </c:pt>
                <c:pt idx="24">
                  <c:v>上海</c:v>
                </c:pt>
                <c:pt idx="25">
                  <c:v>内蒙古</c:v>
                </c:pt>
                <c:pt idx="26">
                  <c:v>天津</c:v>
                </c:pt>
                <c:pt idx="27">
                  <c:v>吉林</c:v>
                </c:pt>
                <c:pt idx="28">
                  <c:v>新疆</c:v>
                </c:pt>
                <c:pt idx="29">
                  <c:v>宁夏</c:v>
                </c:pt>
                <c:pt idx="30">
                  <c:v>青海</c:v>
                </c:pt>
                <c:pt idx="31">
                  <c:v>海外</c:v>
                </c:pt>
                <c:pt idx="32">
                  <c:v>西藏</c:v>
                </c:pt>
                <c:pt idx="33">
                  <c:v>香港</c:v>
                </c:pt>
                <c:pt idx="34">
                  <c:v>澳门台湾</c:v>
                </c:pt>
              </c:strCache>
            </c:str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505257</c:v>
                </c:pt>
                <c:pt idx="1">
                  <c:v>251305</c:v>
                </c:pt>
                <c:pt idx="2">
                  <c:v>230438</c:v>
                </c:pt>
                <c:pt idx="3">
                  <c:v>228134</c:v>
                </c:pt>
                <c:pt idx="4">
                  <c:v>219146</c:v>
                </c:pt>
                <c:pt idx="5">
                  <c:v>213006</c:v>
                </c:pt>
                <c:pt idx="6">
                  <c:v>179952</c:v>
                </c:pt>
                <c:pt idx="7">
                  <c:v>165271</c:v>
                </c:pt>
                <c:pt idx="8">
                  <c:v>160744</c:v>
                </c:pt>
                <c:pt idx="9">
                  <c:v>145131</c:v>
                </c:pt>
                <c:pt idx="10">
                  <c:v>144556</c:v>
                </c:pt>
                <c:pt idx="11">
                  <c:v>143924</c:v>
                </c:pt>
                <c:pt idx="12">
                  <c:v>138156</c:v>
                </c:pt>
                <c:pt idx="13">
                  <c:v>134764</c:v>
                </c:pt>
                <c:pt idx="14">
                  <c:v>118523</c:v>
                </c:pt>
                <c:pt idx="15">
                  <c:v>109828</c:v>
                </c:pt>
                <c:pt idx="16">
                  <c:v>108669</c:v>
                </c:pt>
                <c:pt idx="17">
                  <c:v>105702</c:v>
                </c:pt>
                <c:pt idx="18">
                  <c:v>101167</c:v>
                </c:pt>
                <c:pt idx="19">
                  <c:v>80760</c:v>
                </c:pt>
                <c:pt idx="20">
                  <c:v>73561</c:v>
                </c:pt>
                <c:pt idx="21">
                  <c:v>61949</c:v>
                </c:pt>
                <c:pt idx="22">
                  <c:v>55827</c:v>
                </c:pt>
                <c:pt idx="23">
                  <c:v>48152</c:v>
                </c:pt>
                <c:pt idx="24">
                  <c:v>47033</c:v>
                </c:pt>
                <c:pt idx="25">
                  <c:v>40241</c:v>
                </c:pt>
                <c:pt idx="26">
                  <c:v>37114</c:v>
                </c:pt>
                <c:pt idx="27">
                  <c:v>36026</c:v>
                </c:pt>
                <c:pt idx="28">
                  <c:v>28320</c:v>
                </c:pt>
                <c:pt idx="29">
                  <c:v>18954</c:v>
                </c:pt>
                <c:pt idx="30">
                  <c:v>16470</c:v>
                </c:pt>
                <c:pt idx="31">
                  <c:v>12201</c:v>
                </c:pt>
                <c:pt idx="32">
                  <c:v>4366</c:v>
                </c:pt>
                <c:pt idx="33">
                  <c:v>1114</c:v>
                </c:pt>
                <c:pt idx="34">
                  <c:v>697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二月月各省流量/比例</a:t>
            </a:r>
            <a:endParaRPr sz="1000"/>
          </a:p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sz="1000"/>
          </a:p>
        </c:rich>
      </c:tx>
      <c:layout>
        <c:manualLayout>
          <c:xMode val="edge"/>
          <c:yMode val="edge"/>
          <c:x val="0.1097227645451"/>
          <c:y val="0.01133358519078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26278797344787"/>
          <c:y val="0.121647147714394"/>
          <c:w val="0.896134322530262"/>
          <c:h val="0.867019267094824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流量/GB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ED7D3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70AD47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A5A5A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rgbClr val="4472C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rgbClr val="9E480E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rgbClr val="255E9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rgbClr val="63636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rgbClr val="FFCD3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rgbClr val="43682B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rgbClr val="698ED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rgbClr val="9E480E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rgbClr val="D2601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rgbClr val="255E9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rgbClr val="698ED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rgbClr val="26447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Sheet1!$A$2:$A$36</c:f>
              <c:strCache>
                <c:ptCount val="35"/>
                <c:pt idx="0">
                  <c:v>广东</c:v>
                </c:pt>
                <c:pt idx="1">
                  <c:v>江苏</c:v>
                </c:pt>
                <c:pt idx="2">
                  <c:v>广西</c:v>
                </c:pt>
                <c:pt idx="3">
                  <c:v>四川</c:v>
                </c:pt>
                <c:pt idx="4">
                  <c:v>山东</c:v>
                </c:pt>
                <c:pt idx="5">
                  <c:v>河南</c:v>
                </c:pt>
                <c:pt idx="6">
                  <c:v>河北</c:v>
                </c:pt>
                <c:pt idx="7">
                  <c:v>云南</c:v>
                </c:pt>
                <c:pt idx="8">
                  <c:v>湖南</c:v>
                </c:pt>
                <c:pt idx="9">
                  <c:v>陕西</c:v>
                </c:pt>
                <c:pt idx="10">
                  <c:v>辽宁</c:v>
                </c:pt>
                <c:pt idx="11">
                  <c:v>安徽</c:v>
                </c:pt>
                <c:pt idx="12">
                  <c:v>江西</c:v>
                </c:pt>
                <c:pt idx="13">
                  <c:v>湖北</c:v>
                </c:pt>
                <c:pt idx="14">
                  <c:v>其他</c:v>
                </c:pt>
                <c:pt idx="15">
                  <c:v>贵州</c:v>
                </c:pt>
                <c:pt idx="16">
                  <c:v>浙江</c:v>
                </c:pt>
                <c:pt idx="17">
                  <c:v>黑龙江</c:v>
                </c:pt>
                <c:pt idx="18">
                  <c:v>海南</c:v>
                </c:pt>
                <c:pt idx="19">
                  <c:v>甘肃</c:v>
                </c:pt>
                <c:pt idx="20">
                  <c:v>山西</c:v>
                </c:pt>
                <c:pt idx="21">
                  <c:v>福建</c:v>
                </c:pt>
                <c:pt idx="22">
                  <c:v>重庆</c:v>
                </c:pt>
                <c:pt idx="23">
                  <c:v>北京</c:v>
                </c:pt>
                <c:pt idx="24">
                  <c:v>上海</c:v>
                </c:pt>
                <c:pt idx="25">
                  <c:v>内蒙古</c:v>
                </c:pt>
                <c:pt idx="26">
                  <c:v>吉林</c:v>
                </c:pt>
                <c:pt idx="27">
                  <c:v>新疆</c:v>
                </c:pt>
                <c:pt idx="28">
                  <c:v>天津</c:v>
                </c:pt>
                <c:pt idx="29">
                  <c:v>宁夏</c:v>
                </c:pt>
                <c:pt idx="30">
                  <c:v>青海</c:v>
                </c:pt>
                <c:pt idx="31">
                  <c:v>海外</c:v>
                </c:pt>
                <c:pt idx="32">
                  <c:v>西藏</c:v>
                </c:pt>
                <c:pt idx="33">
                  <c:v>香港</c:v>
                </c:pt>
                <c:pt idx="34">
                  <c:v>澳门台湾</c:v>
                </c:pt>
              </c:strCache>
            </c:str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422238</c:v>
                </c:pt>
                <c:pt idx="1">
                  <c:v>193089</c:v>
                </c:pt>
                <c:pt idx="2">
                  <c:v>177539</c:v>
                </c:pt>
                <c:pt idx="3">
                  <c:v>174394</c:v>
                </c:pt>
                <c:pt idx="4">
                  <c:v>166439</c:v>
                </c:pt>
                <c:pt idx="5">
                  <c:v>162337</c:v>
                </c:pt>
                <c:pt idx="6">
                  <c:v>140990</c:v>
                </c:pt>
                <c:pt idx="7">
                  <c:v>139588</c:v>
                </c:pt>
                <c:pt idx="8">
                  <c:v>122640</c:v>
                </c:pt>
                <c:pt idx="9">
                  <c:v>122591</c:v>
                </c:pt>
                <c:pt idx="10">
                  <c:v>112954</c:v>
                </c:pt>
                <c:pt idx="11">
                  <c:v>112696</c:v>
                </c:pt>
                <c:pt idx="12">
                  <c:v>106364</c:v>
                </c:pt>
                <c:pt idx="13">
                  <c:v>98860</c:v>
                </c:pt>
                <c:pt idx="14">
                  <c:v>90887</c:v>
                </c:pt>
                <c:pt idx="15">
                  <c:v>88354</c:v>
                </c:pt>
                <c:pt idx="16">
                  <c:v>87803</c:v>
                </c:pt>
                <c:pt idx="17">
                  <c:v>84747</c:v>
                </c:pt>
                <c:pt idx="18">
                  <c:v>69925</c:v>
                </c:pt>
                <c:pt idx="19">
                  <c:v>62031</c:v>
                </c:pt>
                <c:pt idx="20">
                  <c:v>58901</c:v>
                </c:pt>
                <c:pt idx="21">
                  <c:v>51547</c:v>
                </c:pt>
                <c:pt idx="22">
                  <c:v>40523</c:v>
                </c:pt>
                <c:pt idx="23">
                  <c:v>39929</c:v>
                </c:pt>
                <c:pt idx="24">
                  <c:v>35790</c:v>
                </c:pt>
                <c:pt idx="25">
                  <c:v>31954</c:v>
                </c:pt>
                <c:pt idx="26">
                  <c:v>28462</c:v>
                </c:pt>
                <c:pt idx="27">
                  <c:v>23140</c:v>
                </c:pt>
                <c:pt idx="28">
                  <c:v>22467</c:v>
                </c:pt>
                <c:pt idx="29">
                  <c:v>14420</c:v>
                </c:pt>
                <c:pt idx="30">
                  <c:v>13370</c:v>
                </c:pt>
                <c:pt idx="31">
                  <c:v>9425</c:v>
                </c:pt>
                <c:pt idx="32">
                  <c:v>3829</c:v>
                </c:pt>
                <c:pt idx="33">
                  <c:v>854</c:v>
                </c:pt>
                <c:pt idx="34">
                  <c:v>542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三月各省流量/比例</a:t>
            </a:r>
            <a:endParaRPr sz="1000"/>
          </a:p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sz="1000"/>
          </a:p>
        </c:rich>
      </c:tx>
      <c:layout>
        <c:manualLayout>
          <c:xMode val="edge"/>
          <c:yMode val="edge"/>
          <c:x val="0.203075847605732"/>
          <c:y val="0.01133358519078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9947570779448"/>
          <c:y val="0.128447298828864"/>
          <c:w val="0.795875567983222"/>
          <c:h val="0.860219115980354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流量/GB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ED7D3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70AD47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A5A5A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rgbClr val="4472C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rgbClr val="255E9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rgbClr val="FFCD3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rgbClr val="9E480E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rgbClr val="63636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rgbClr val="9973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rgbClr val="7CAFDD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rgbClr val="43682B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rgbClr val="264478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rgbClr val="F1975A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rgbClr val="FFCD3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新宋体" panose="02010609030101010101" charset="-122"/>
                    <a:ea typeface="新宋体" panose="02010609030101010101" charset="-122"/>
                    <a:cs typeface="新宋体" panose="02010609030101010101" charset="-122"/>
                    <a:sym typeface="新宋体" panose="02010609030101010101" charset="-122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Sheet1!$A$2:$A$36</c:f>
              <c:strCache>
                <c:ptCount val="35"/>
                <c:pt idx="0">
                  <c:v>广东</c:v>
                </c:pt>
                <c:pt idx="1">
                  <c:v>江苏</c:v>
                </c:pt>
                <c:pt idx="2">
                  <c:v>广西</c:v>
                </c:pt>
                <c:pt idx="3">
                  <c:v>四川</c:v>
                </c:pt>
                <c:pt idx="4">
                  <c:v>山东</c:v>
                </c:pt>
                <c:pt idx="5">
                  <c:v>河南</c:v>
                </c:pt>
                <c:pt idx="6">
                  <c:v>云南</c:v>
                </c:pt>
                <c:pt idx="7">
                  <c:v>陕西</c:v>
                </c:pt>
                <c:pt idx="8">
                  <c:v>河北</c:v>
                </c:pt>
                <c:pt idx="9">
                  <c:v>湖南</c:v>
                </c:pt>
                <c:pt idx="10">
                  <c:v>安徽</c:v>
                </c:pt>
                <c:pt idx="11">
                  <c:v>江西</c:v>
                </c:pt>
                <c:pt idx="12">
                  <c:v>辽宁</c:v>
                </c:pt>
                <c:pt idx="13">
                  <c:v>浙江</c:v>
                </c:pt>
                <c:pt idx="14">
                  <c:v>湖北</c:v>
                </c:pt>
                <c:pt idx="15">
                  <c:v>其他</c:v>
                </c:pt>
                <c:pt idx="16">
                  <c:v>贵州</c:v>
                </c:pt>
                <c:pt idx="17">
                  <c:v>黑龙江</c:v>
                </c:pt>
                <c:pt idx="18">
                  <c:v>海南</c:v>
                </c:pt>
                <c:pt idx="19">
                  <c:v>福建</c:v>
                </c:pt>
                <c:pt idx="20">
                  <c:v>山西</c:v>
                </c:pt>
                <c:pt idx="21">
                  <c:v>甘肃</c:v>
                </c:pt>
                <c:pt idx="22">
                  <c:v>北京</c:v>
                </c:pt>
                <c:pt idx="23">
                  <c:v>上海</c:v>
                </c:pt>
                <c:pt idx="24">
                  <c:v>重庆</c:v>
                </c:pt>
                <c:pt idx="25">
                  <c:v>内蒙古</c:v>
                </c:pt>
                <c:pt idx="26">
                  <c:v>吉林</c:v>
                </c:pt>
                <c:pt idx="27">
                  <c:v>天津</c:v>
                </c:pt>
                <c:pt idx="28">
                  <c:v>新疆</c:v>
                </c:pt>
                <c:pt idx="29">
                  <c:v>宁夏</c:v>
                </c:pt>
                <c:pt idx="30">
                  <c:v>青海</c:v>
                </c:pt>
                <c:pt idx="31">
                  <c:v>海外</c:v>
                </c:pt>
                <c:pt idx="32">
                  <c:v>西藏</c:v>
                </c:pt>
                <c:pt idx="33">
                  <c:v>香港</c:v>
                </c:pt>
                <c:pt idx="34">
                  <c:v>澳门台湾</c:v>
                </c:pt>
              </c:strCache>
            </c:str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584409</c:v>
                </c:pt>
                <c:pt idx="1">
                  <c:v>276875</c:v>
                </c:pt>
                <c:pt idx="2">
                  <c:v>181318</c:v>
                </c:pt>
                <c:pt idx="3">
                  <c:v>178895</c:v>
                </c:pt>
                <c:pt idx="4">
                  <c:v>171985</c:v>
                </c:pt>
                <c:pt idx="5">
                  <c:v>168461</c:v>
                </c:pt>
                <c:pt idx="6">
                  <c:v>149203</c:v>
                </c:pt>
                <c:pt idx="7">
                  <c:v>142296</c:v>
                </c:pt>
                <c:pt idx="8">
                  <c:v>133377</c:v>
                </c:pt>
                <c:pt idx="9">
                  <c:v>131960</c:v>
                </c:pt>
                <c:pt idx="10">
                  <c:v>128276</c:v>
                </c:pt>
                <c:pt idx="11">
                  <c:v>123042</c:v>
                </c:pt>
                <c:pt idx="12">
                  <c:v>117724</c:v>
                </c:pt>
                <c:pt idx="13">
                  <c:v>107986</c:v>
                </c:pt>
                <c:pt idx="14">
                  <c:v>101491</c:v>
                </c:pt>
                <c:pt idx="15">
                  <c:v>97787</c:v>
                </c:pt>
                <c:pt idx="16">
                  <c:v>90238</c:v>
                </c:pt>
                <c:pt idx="17">
                  <c:v>83893</c:v>
                </c:pt>
                <c:pt idx="18">
                  <c:v>66364</c:v>
                </c:pt>
                <c:pt idx="19">
                  <c:v>64583</c:v>
                </c:pt>
                <c:pt idx="20">
                  <c:v>64217</c:v>
                </c:pt>
                <c:pt idx="21">
                  <c:v>59524</c:v>
                </c:pt>
                <c:pt idx="22">
                  <c:v>53158</c:v>
                </c:pt>
                <c:pt idx="23">
                  <c:v>52394</c:v>
                </c:pt>
                <c:pt idx="24">
                  <c:v>43052</c:v>
                </c:pt>
                <c:pt idx="25">
                  <c:v>31089</c:v>
                </c:pt>
                <c:pt idx="26">
                  <c:v>30738</c:v>
                </c:pt>
                <c:pt idx="27">
                  <c:v>25741</c:v>
                </c:pt>
                <c:pt idx="28">
                  <c:v>23265</c:v>
                </c:pt>
                <c:pt idx="29">
                  <c:v>15794</c:v>
                </c:pt>
                <c:pt idx="30">
                  <c:v>13963</c:v>
                </c:pt>
                <c:pt idx="31">
                  <c:v>11172</c:v>
                </c:pt>
                <c:pt idx="32">
                  <c:v>4481</c:v>
                </c:pt>
                <c:pt idx="33">
                  <c:v>1203</c:v>
                </c:pt>
                <c:pt idx="34">
                  <c:v>802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1000"/>
              <a:t>四月各省流量/比例</a:t>
            </a:r>
            <a:endParaRPr sz="1000"/>
          </a:p>
          <a:p>
            <a:pPr defTabSz="914400">
              <a:defRPr lang="zh-CN"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sz="1000"/>
          </a:p>
        </c:rich>
      </c:tx>
      <c:layout>
        <c:manualLayout>
          <c:xMode val="edge"/>
          <c:yMode val="edge"/>
          <c:x val="0.0225625"/>
          <c:y val="0.033482142857142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3475"/>
          <c:y val="0.169642857142857"/>
          <c:w val="0.27525"/>
          <c:h val="0.819196428571429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四月流量/GB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solidFill>
                <a:schemeClr val="accent3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solidFill>
                <a:schemeClr val="accent5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solidFill>
                <a:schemeClr val="accent3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solidFill>
                <a:schemeClr val="accent3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solidFill>
                <a:schemeClr val="accent5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Sheet1!$A$2:$A$36</c:f>
              <c:strCache>
                <c:ptCount val="35"/>
                <c:pt idx="0">
                  <c:v>广东</c:v>
                </c:pt>
                <c:pt idx="1">
                  <c:v>江苏</c:v>
                </c:pt>
                <c:pt idx="2">
                  <c:v>山东</c:v>
                </c:pt>
                <c:pt idx="3">
                  <c:v>四川</c:v>
                </c:pt>
                <c:pt idx="4">
                  <c:v>河南</c:v>
                </c:pt>
                <c:pt idx="5">
                  <c:v>广西</c:v>
                </c:pt>
                <c:pt idx="6">
                  <c:v>云南</c:v>
                </c:pt>
                <c:pt idx="7">
                  <c:v>河北</c:v>
                </c:pt>
                <c:pt idx="8">
                  <c:v>湖南</c:v>
                </c:pt>
                <c:pt idx="9">
                  <c:v>安徽</c:v>
                </c:pt>
                <c:pt idx="10">
                  <c:v>浙江</c:v>
                </c:pt>
                <c:pt idx="11">
                  <c:v>辽宁</c:v>
                </c:pt>
                <c:pt idx="12">
                  <c:v>江西</c:v>
                </c:pt>
                <c:pt idx="13">
                  <c:v>湖北</c:v>
                </c:pt>
                <c:pt idx="14">
                  <c:v>其他</c:v>
                </c:pt>
                <c:pt idx="15">
                  <c:v>陕西</c:v>
                </c:pt>
                <c:pt idx="16">
                  <c:v>贵州</c:v>
                </c:pt>
                <c:pt idx="17">
                  <c:v>黑龙江</c:v>
                </c:pt>
                <c:pt idx="18">
                  <c:v>福建</c:v>
                </c:pt>
                <c:pt idx="19">
                  <c:v>海南</c:v>
                </c:pt>
                <c:pt idx="20">
                  <c:v>山西</c:v>
                </c:pt>
                <c:pt idx="21">
                  <c:v>甘肃</c:v>
                </c:pt>
                <c:pt idx="22">
                  <c:v>北京</c:v>
                </c:pt>
                <c:pt idx="23">
                  <c:v>上海</c:v>
                </c:pt>
                <c:pt idx="24">
                  <c:v>重庆</c:v>
                </c:pt>
                <c:pt idx="25">
                  <c:v>内蒙古</c:v>
                </c:pt>
                <c:pt idx="26">
                  <c:v>吉林</c:v>
                </c:pt>
                <c:pt idx="27">
                  <c:v>新疆</c:v>
                </c:pt>
                <c:pt idx="28">
                  <c:v>天津</c:v>
                </c:pt>
                <c:pt idx="29">
                  <c:v>宁夏</c:v>
                </c:pt>
                <c:pt idx="30">
                  <c:v>青海</c:v>
                </c:pt>
                <c:pt idx="31">
                  <c:v>海外</c:v>
                </c:pt>
                <c:pt idx="32">
                  <c:v>西藏</c:v>
                </c:pt>
                <c:pt idx="33">
                  <c:v>香港</c:v>
                </c:pt>
                <c:pt idx="34">
                  <c:v>澳门台湾</c:v>
                </c:pt>
              </c:strCache>
            </c:strRef>
          </c:cat>
          <c:val>
            <c:numRef>
              <c:f>Sheet1!$B$2:$B$36</c:f>
              <c:numCache>
                <c:formatCode>General</c:formatCode>
                <c:ptCount val="35"/>
                <c:pt idx="0">
                  <c:v>493823</c:v>
                </c:pt>
                <c:pt idx="1">
                  <c:v>299364</c:v>
                </c:pt>
                <c:pt idx="2">
                  <c:v>173527</c:v>
                </c:pt>
                <c:pt idx="3">
                  <c:v>171181</c:v>
                </c:pt>
                <c:pt idx="4">
                  <c:v>163607</c:v>
                </c:pt>
                <c:pt idx="5">
                  <c:v>158840</c:v>
                </c:pt>
                <c:pt idx="6">
                  <c:v>127101</c:v>
                </c:pt>
                <c:pt idx="7">
                  <c:v>125117</c:v>
                </c:pt>
                <c:pt idx="8">
                  <c:v>117910</c:v>
                </c:pt>
                <c:pt idx="9">
                  <c:v>113768</c:v>
                </c:pt>
                <c:pt idx="10">
                  <c:v>110382</c:v>
                </c:pt>
                <c:pt idx="11">
                  <c:v>104053</c:v>
                </c:pt>
                <c:pt idx="12">
                  <c:v>102097</c:v>
                </c:pt>
                <c:pt idx="13">
                  <c:v>97120</c:v>
                </c:pt>
                <c:pt idx="14">
                  <c:v>95600</c:v>
                </c:pt>
                <c:pt idx="15">
                  <c:v>91704</c:v>
                </c:pt>
                <c:pt idx="16">
                  <c:v>85076</c:v>
                </c:pt>
                <c:pt idx="17">
                  <c:v>69144</c:v>
                </c:pt>
                <c:pt idx="18">
                  <c:v>60220</c:v>
                </c:pt>
                <c:pt idx="19">
                  <c:v>55305</c:v>
                </c:pt>
                <c:pt idx="20">
                  <c:v>54760</c:v>
                </c:pt>
                <c:pt idx="21">
                  <c:v>53285</c:v>
                </c:pt>
                <c:pt idx="22">
                  <c:v>50645</c:v>
                </c:pt>
                <c:pt idx="23">
                  <c:v>45506</c:v>
                </c:pt>
                <c:pt idx="24">
                  <c:v>39935</c:v>
                </c:pt>
                <c:pt idx="25">
                  <c:v>26810</c:v>
                </c:pt>
                <c:pt idx="26">
                  <c:v>25967</c:v>
                </c:pt>
                <c:pt idx="27">
                  <c:v>22574</c:v>
                </c:pt>
                <c:pt idx="28">
                  <c:v>22070</c:v>
                </c:pt>
                <c:pt idx="29">
                  <c:v>13550</c:v>
                </c:pt>
                <c:pt idx="30">
                  <c:v>12022</c:v>
                </c:pt>
                <c:pt idx="31">
                  <c:v>9942</c:v>
                </c:pt>
                <c:pt idx="32">
                  <c:v>4016</c:v>
                </c:pt>
                <c:pt idx="33">
                  <c:v>991</c:v>
                </c:pt>
                <c:pt idx="34">
                  <c:v>659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4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5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6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7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8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9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4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5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6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7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8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19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4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5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6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7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8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29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3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egendEntry>
        <c:idx val="34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新宋体" panose="02010609030101010101" charset="-122"/>
                <a:ea typeface="新宋体" panose="02010609030101010101" charset="-122"/>
                <a:cs typeface="新宋体" panose="02010609030101010101" charset="-122"/>
                <a:sym typeface="新宋体" panose="02010609030101010101" charset="-122"/>
              </a:defRPr>
            </a:pPr>
          </a:p>
        </c:txPr>
      </c:legendEntry>
      <c:layout>
        <c:manualLayout>
          <c:xMode val="edge"/>
          <c:yMode val="edge"/>
          <c:x val="0.36825"/>
          <c:y val="0.0647321428571429"/>
          <c:w val="0.588625"/>
          <c:h val="0.84040178571428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新宋体" panose="02010609030101010101" charset="-122"/>
              <a:ea typeface="新宋体" panose="02010609030101010101" charset="-122"/>
              <a:cs typeface="新宋体" panose="02010609030101010101" charset="-122"/>
              <a:sym typeface="新宋体" panose="02010609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全国前十流量地区分析/GB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1月/GB</c:v>
                </c:pt>
              </c:strCache>
            </c:strRef>
          </c:tx>
          <c:spPr>
            <a:solidFill>
              <a:schemeClr val="accent5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Sheet1!$A$2:$A$11</c:f>
              <c:strCache>
                <c:ptCount val="10"/>
                <c:pt idx="0">
                  <c:v>陕西</c:v>
                </c:pt>
                <c:pt idx="1">
                  <c:v>云南</c:v>
                </c:pt>
                <c:pt idx="2">
                  <c:v>湖南</c:v>
                </c:pt>
                <c:pt idx="3">
                  <c:v>河北</c:v>
                </c:pt>
                <c:pt idx="4">
                  <c:v>河南</c:v>
                </c:pt>
                <c:pt idx="5">
                  <c:v>江苏</c:v>
                </c:pt>
                <c:pt idx="6">
                  <c:v>广西</c:v>
                </c:pt>
                <c:pt idx="7">
                  <c:v>山东</c:v>
                </c:pt>
                <c:pt idx="8">
                  <c:v>四川</c:v>
                </c:pt>
                <c:pt idx="9">
                  <c:v>广东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142296</c:v>
                </c:pt>
                <c:pt idx="1">
                  <c:v>160744</c:v>
                </c:pt>
                <c:pt idx="2">
                  <c:v>165271</c:v>
                </c:pt>
                <c:pt idx="3">
                  <c:v>179952</c:v>
                </c:pt>
                <c:pt idx="4">
                  <c:v>213006</c:v>
                </c:pt>
                <c:pt idx="5">
                  <c:v>219146</c:v>
                </c:pt>
                <c:pt idx="6">
                  <c:v>228134</c:v>
                </c:pt>
                <c:pt idx="7">
                  <c:v>230438</c:v>
                </c:pt>
                <c:pt idx="8">
                  <c:v>251305</c:v>
                </c:pt>
                <c:pt idx="9">
                  <c:v>505257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2月/GB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Sheet1!$A$2:$A$11</c:f>
              <c:strCache>
                <c:ptCount val="10"/>
                <c:pt idx="0">
                  <c:v>陕西</c:v>
                </c:pt>
                <c:pt idx="1">
                  <c:v>云南</c:v>
                </c:pt>
                <c:pt idx="2">
                  <c:v>湖南</c:v>
                </c:pt>
                <c:pt idx="3">
                  <c:v>河北</c:v>
                </c:pt>
                <c:pt idx="4">
                  <c:v>河南</c:v>
                </c:pt>
                <c:pt idx="5">
                  <c:v>江苏</c:v>
                </c:pt>
                <c:pt idx="6">
                  <c:v>广西</c:v>
                </c:pt>
                <c:pt idx="7">
                  <c:v>山东</c:v>
                </c:pt>
                <c:pt idx="8">
                  <c:v>四川</c:v>
                </c:pt>
                <c:pt idx="9">
                  <c:v>广东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122591</c:v>
                </c:pt>
                <c:pt idx="1">
                  <c:v>139588</c:v>
                </c:pt>
                <c:pt idx="2">
                  <c:v>122640</c:v>
                </c:pt>
                <c:pt idx="3">
                  <c:v>140990</c:v>
                </c:pt>
                <c:pt idx="4">
                  <c:v>162337</c:v>
                </c:pt>
                <c:pt idx="5">
                  <c:v>193089</c:v>
                </c:pt>
                <c:pt idx="6">
                  <c:v>177539</c:v>
                </c:pt>
                <c:pt idx="7">
                  <c:v>166439</c:v>
                </c:pt>
                <c:pt idx="8">
                  <c:v>174394</c:v>
                </c:pt>
                <c:pt idx="9">
                  <c:v>422238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3月/GB</c:v>
                </c:pt>
              </c:strCache>
            </c:strRef>
          </c:tx>
          <c:spPr>
            <a:solidFill>
              <a:schemeClr val="accent3">
                <a:alpha val="82000"/>
              </a:schemeClr>
            </a:solidFill>
            <a:ln w="19050" cmpd="sng">
              <a:solidFill>
                <a:schemeClr val="lt1">
                  <a:alpha val="0"/>
                </a:schemeClr>
              </a:solidFill>
              <a:prstDash val="solid"/>
            </a:ln>
            <a:effectLst/>
          </c:spPr>
          <c:invertIfNegative val="0"/>
          <c:dLbls>
            <c:delete val="1"/>
          </c:dLbls>
          <c:cat>
            <c:strRef>
              <c:f>Sheet1!$A$2:$A$11</c:f>
              <c:strCache>
                <c:ptCount val="10"/>
                <c:pt idx="0">
                  <c:v>陕西</c:v>
                </c:pt>
                <c:pt idx="1">
                  <c:v>云南</c:v>
                </c:pt>
                <c:pt idx="2">
                  <c:v>湖南</c:v>
                </c:pt>
                <c:pt idx="3">
                  <c:v>河北</c:v>
                </c:pt>
                <c:pt idx="4">
                  <c:v>河南</c:v>
                </c:pt>
                <c:pt idx="5">
                  <c:v>江苏</c:v>
                </c:pt>
                <c:pt idx="6">
                  <c:v>广西</c:v>
                </c:pt>
                <c:pt idx="7">
                  <c:v>山东</c:v>
                </c:pt>
                <c:pt idx="8">
                  <c:v>四川</c:v>
                </c:pt>
                <c:pt idx="9">
                  <c:v>广东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142296</c:v>
                </c:pt>
                <c:pt idx="1">
                  <c:v>149203</c:v>
                </c:pt>
                <c:pt idx="2">
                  <c:v>131960</c:v>
                </c:pt>
                <c:pt idx="3">
                  <c:v>133377</c:v>
                </c:pt>
                <c:pt idx="4">
                  <c:v>168461</c:v>
                </c:pt>
                <c:pt idx="5">
                  <c:v>276875</c:v>
                </c:pt>
                <c:pt idx="6">
                  <c:v>181318</c:v>
                </c:pt>
                <c:pt idx="7">
                  <c:v>171985</c:v>
                </c:pt>
                <c:pt idx="8">
                  <c:v>178895</c:v>
                </c:pt>
                <c:pt idx="9">
                  <c:v>584409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4月/GB</c:v>
                </c:pt>
              </c:strCache>
            </c:strRef>
          </c:tx>
          <c:spPr>
            <a:gradFill>
              <a:gsLst>
                <a:gs pos="0">
                  <a:srgbClr val="FFC000"/>
                </a:gs>
                <a:gs pos="100000">
                  <a:srgbClr val="832B2B"/>
                </a:gs>
              </a:gsLst>
              <a:lin ang="4800000" scaled="0"/>
            </a:gradFill>
            <a:ln w="12700" cmpd="sng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prstDash val="solid"/>
            </a:ln>
            <a:effectLst/>
          </c:spPr>
          <c:invertIfNegative val="0"/>
          <c:dLbls>
            <c:delete val="1"/>
          </c:dLbls>
          <c:cat>
            <c:strRef>
              <c:f>Sheet1!$A$2:$A$11</c:f>
              <c:strCache>
                <c:ptCount val="10"/>
                <c:pt idx="0">
                  <c:v>陕西</c:v>
                </c:pt>
                <c:pt idx="1">
                  <c:v>云南</c:v>
                </c:pt>
                <c:pt idx="2">
                  <c:v>湖南</c:v>
                </c:pt>
                <c:pt idx="3">
                  <c:v>河北</c:v>
                </c:pt>
                <c:pt idx="4">
                  <c:v>河南</c:v>
                </c:pt>
                <c:pt idx="5">
                  <c:v>江苏</c:v>
                </c:pt>
                <c:pt idx="6">
                  <c:v>广西</c:v>
                </c:pt>
                <c:pt idx="7">
                  <c:v>山东</c:v>
                </c:pt>
                <c:pt idx="8">
                  <c:v>四川</c:v>
                </c:pt>
                <c:pt idx="9">
                  <c:v>广东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1">
                  <c:v>127101</c:v>
                </c:pt>
                <c:pt idx="2">
                  <c:v>117910</c:v>
                </c:pt>
                <c:pt idx="3">
                  <c:v>125117</c:v>
                </c:pt>
                <c:pt idx="4">
                  <c:v>163607</c:v>
                </c:pt>
                <c:pt idx="5">
                  <c:v>299364</c:v>
                </c:pt>
                <c:pt idx="6">
                  <c:v>158840</c:v>
                </c:pt>
                <c:pt idx="7">
                  <c:v>173527</c:v>
                </c:pt>
                <c:pt idx="8">
                  <c:v>171181</c:v>
                </c:pt>
                <c:pt idx="9">
                  <c:v>493823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780633617"/>
        <c:axId val="398886986"/>
      </c:barChart>
      <c:catAx>
        <c:axId val="780633617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8886986"/>
        <c:crosses val="autoZero"/>
        <c:auto val="1"/>
        <c:lblAlgn val="ctr"/>
        <c:lblOffset val="100"/>
        <c:noMultiLvlLbl val="0"/>
      </c:catAx>
      <c:valAx>
        <c:axId val="39888698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063361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全国运营商流量分析</a:t>
            </a:r>
            <a:r>
              <a:rPr lang="en-US" altLang="zh-CN"/>
              <a:t>/GB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电信/GB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1529740</c:v>
                </c:pt>
                <c:pt idx="1">
                  <c:v>1189046</c:v>
                </c:pt>
                <c:pt idx="2">
                  <c:v>1380319</c:v>
                </c:pt>
                <c:pt idx="3">
                  <c:v>1252454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移动/GB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1389202</c:v>
                </c:pt>
                <c:pt idx="1">
                  <c:v>1108921</c:v>
                </c:pt>
                <c:pt idx="2">
                  <c:v>1246673</c:v>
                </c:pt>
                <c:pt idx="3">
                  <c:v>1139901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联通/GB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754643</c:v>
                </c:pt>
                <c:pt idx="1">
                  <c:v>579340</c:v>
                </c:pt>
                <c:pt idx="2">
                  <c:v>631907</c:v>
                </c:pt>
                <c:pt idx="3">
                  <c:v>565453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铁通/GB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0.001875"/>
                  <c:y val="-0.01078877966914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57122</c:v>
                </c:pt>
                <c:pt idx="1">
                  <c:v>39511</c:v>
                </c:pt>
                <c:pt idx="2">
                  <c:v>41376</c:v>
                </c:pt>
                <c:pt idx="3">
                  <c:v>34292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教育网/GB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1875"/>
                  <c:y val="0.025173819228002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"/>
                  <c:y val="0.02877007911771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0.025173819228002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1875"/>
                  <c:y val="0.025173819228002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1951</c:v>
                </c:pt>
                <c:pt idx="1">
                  <c:v>8161</c:v>
                </c:pt>
                <c:pt idx="2">
                  <c:v>7064</c:v>
                </c:pt>
                <c:pt idx="3">
                  <c:v>2060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电信通/GB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0.01078877966914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"/>
                  <c:y val="0.0071925197794293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5"/>
                  <c:y val="0.01078877966914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375"/>
                  <c:y val="0.01078877966914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42317</c:v>
                </c:pt>
                <c:pt idx="1">
                  <c:v>32220</c:v>
                </c:pt>
                <c:pt idx="2">
                  <c:v>47356</c:v>
                </c:pt>
                <c:pt idx="3">
                  <c:v>37863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其他/GB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5"/>
                  <c:y val="0.017981299448573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0625"/>
                  <c:y val="0.017981299448573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28125"/>
                  <c:y val="0.02877007911771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5"/>
                  <c:y val="0.021577559338288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1月</c:v>
                </c:pt>
                <c:pt idx="1">
                  <c:v>2月</c:v>
                </c:pt>
                <c:pt idx="2">
                  <c:v>3月</c:v>
                </c:pt>
                <c:pt idx="3">
                  <c:v>4月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191494</c:v>
                </c:pt>
                <c:pt idx="1">
                  <c:v>154432</c:v>
                </c:pt>
                <c:pt idx="2">
                  <c:v>176071</c:v>
                </c:pt>
                <c:pt idx="3">
                  <c:v>165663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549456"/>
        <c:axId val="476928213"/>
      </c:barChart>
      <c:catAx>
        <c:axId val="66549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6928213"/>
        <c:crosses val="autoZero"/>
        <c:auto val="1"/>
        <c:lblAlgn val="ctr"/>
        <c:lblOffset val="100"/>
        <c:noMultiLvlLbl val="0"/>
      </c:catAx>
      <c:valAx>
        <c:axId val="4769282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方正姚体" panose="02010601030101010101" charset="-122"/>
                <a:ea typeface="方正姚体" panose="02010601030101010101" charset="-122"/>
                <a:cs typeface="方正姚体" panose="02010601030101010101" charset="-122"/>
                <a:sym typeface="方正姚体" panose="02010601030101010101" charset="-122"/>
              </a:defRPr>
            </a:pPr>
          </a:p>
        </c:txPr>
        <c:crossAx val="6654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四月前半个月流量分析折线图</a:t>
            </a:r>
            <a:r>
              <a:rPr lang="en-US" altLang="zh-CN"/>
              <a:t>/GB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69176052163604"/>
          <c:y val="0.236622332199196"/>
          <c:w val="0.897000592768228"/>
          <c:h val="0.536158366841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三月/GB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  <a:ln w="12700" cmpd="sng">
              <a:solidFill>
                <a:srgbClr val="8BCB7E">
                  <a:alpha val="79000"/>
                </a:srgbClr>
              </a:solidFill>
              <a:prstDash val="solid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94595</c:v>
                </c:pt>
                <c:pt idx="1">
                  <c:v>101225</c:v>
                </c:pt>
                <c:pt idx="2">
                  <c:v>117329</c:v>
                </c:pt>
                <c:pt idx="3">
                  <c:v>162327</c:v>
                </c:pt>
                <c:pt idx="4">
                  <c:v>139715</c:v>
                </c:pt>
                <c:pt idx="5">
                  <c:v>92959</c:v>
                </c:pt>
                <c:pt idx="6">
                  <c:v>87861</c:v>
                </c:pt>
                <c:pt idx="7">
                  <c:v>100829</c:v>
                </c:pt>
                <c:pt idx="8">
                  <c:v>101480</c:v>
                </c:pt>
                <c:pt idx="9">
                  <c:v>125524</c:v>
                </c:pt>
                <c:pt idx="10">
                  <c:v>163917</c:v>
                </c:pt>
                <c:pt idx="11">
                  <c:v>138026</c:v>
                </c:pt>
                <c:pt idx="12">
                  <c:v>88071</c:v>
                </c:pt>
                <c:pt idx="13">
                  <c:v>93388</c:v>
                </c:pt>
                <c:pt idx="14">
                  <c:v>94220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四月/GB</c:v>
                </c:pt>
              </c:strCache>
            </c:strRef>
          </c:tx>
          <c:spPr>
            <a:solidFill>
              <a:schemeClr val="accent2"/>
            </a:solidFill>
            <a:ln w="12700" cmpd="sng">
              <a:solidFill>
                <a:srgbClr val="FF6600"/>
              </a:solidFill>
              <a:prstDash val="solid"/>
            </a:ln>
            <a:effectLst/>
          </c:spPr>
          <c:invertIfNegative val="0"/>
          <c:dLbls>
            <c:dLbl>
              <c:idx val="4"/>
              <c:layout>
                <c:manualLayout>
                  <c:x val="0"/>
                  <c:y val="0.03773584905660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4"/>
              <c:layout>
                <c:manualLayout>
                  <c:x val="0.0048606994665086"/>
                  <c:y val="-0.021033096195484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方正姚体" panose="02010601030101010101" charset="-122"/>
                    <a:ea typeface="方正姚体" panose="02010601030101010101" charset="-122"/>
                    <a:cs typeface="方正姚体" panose="02010601030101010101" charset="-122"/>
                    <a:sym typeface="方正姚体" panose="02010601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127047</c:v>
                </c:pt>
                <c:pt idx="1">
                  <c:v>145668</c:v>
                </c:pt>
                <c:pt idx="2">
                  <c:v>131921</c:v>
                </c:pt>
                <c:pt idx="3">
                  <c:v>121086</c:v>
                </c:pt>
                <c:pt idx="4">
                  <c:v>87689</c:v>
                </c:pt>
                <c:pt idx="5">
                  <c:v>76585</c:v>
                </c:pt>
                <c:pt idx="6">
                  <c:v>95152</c:v>
                </c:pt>
                <c:pt idx="7">
                  <c:v>128375</c:v>
                </c:pt>
                <c:pt idx="8">
                  <c:v>116920</c:v>
                </c:pt>
                <c:pt idx="9">
                  <c:v>80666</c:v>
                </c:pt>
                <c:pt idx="10">
                  <c:v>81483</c:v>
                </c:pt>
                <c:pt idx="11">
                  <c:v>80217</c:v>
                </c:pt>
                <c:pt idx="12">
                  <c:v>79966</c:v>
                </c:pt>
                <c:pt idx="13">
                  <c:v>99192</c:v>
                </c:pt>
                <c:pt idx="14">
                  <c:v>137687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0"/>
        <c:axId val="853542786"/>
        <c:axId val="650200472"/>
      </c:barChart>
      <c:catAx>
        <c:axId val="85354278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200472"/>
        <c:crosses val="autoZero"/>
        <c:auto val="1"/>
        <c:lblAlgn val="ctr"/>
        <c:lblOffset val="100"/>
        <c:noMultiLvlLbl val="0"/>
      </c:catAx>
      <c:valAx>
        <c:axId val="65020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535427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2017-06-07T03:24:56Z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