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5200" w:hRule="atLeas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color="auto" w:val="clear"/>
            <w:tcMar>
              <w:top w:type="dxa" w:w="6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5B895"/>
                <w:spacing w:val="80"/>
                <w:sz w:val="24"/>
                <w:szCs w:val="24"/>
              </w:rPr>
              <w:t xml:space="preserve">INTERNSHIP REPORT</w:t>
            </w:r>
          </w:p>
          <w:p>
            <w:pPr>
              <w:spacing w:after="240" w:line="3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4"/>
                <w:szCs w:val="54"/>
              </w:rPr>
              <w:t xml:space="preserve">Thermal Management &amp; Refrigeration Cycle Modelling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26"/>
                <w:szCs w:val="26"/>
              </w:rPr>
              <w:t xml:space="preserve">MATLAB / Simulink (Simscape)</w:t>
            </w:r>
          </w:p>
        </w:tc>
      </w:tr>
    </w:tbl>
    <w:p>
      <w:pPr>
        <w:spacing w:after="2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4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E8743B"/>
                <w:sz w:val="34"/>
                <w:szCs w:val="34"/>
              </w:rPr>
              <w:t xml:space="preserve">I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24"/>
                <w:szCs w:val="24"/>
              </w:rPr>
              <w:t xml:space="preserve">Battery temperature variation with conductive &amp; convective heat transfer</w:t>
            </w:r>
          </w:p>
        </w:tc>
      </w:tr>
      <w:tr>
        <w:trPr>
          <w:trHeight w:val="100" w:hRule="exact"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4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E8743B"/>
                <w:sz w:val="34"/>
                <w:szCs w:val="34"/>
              </w:rPr>
              <w:t xml:space="preserve">II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24"/>
                <w:szCs w:val="24"/>
              </w:rPr>
              <w:t xml:space="preserve">R-1234yf closed-loop vapour-compression refrigeration cycle</w:t>
            </w:r>
          </w:p>
        </w:tc>
      </w:tr>
    </w:tbl>
    <w:p>
      <w:pPr>
        <w:spacing w:after="30" w:before="260"/>
      </w:pPr>
      <w:r>
        <w:rPr>
          <w:rFonts w:ascii="Calibri" w:cs="Calibri" w:eastAsia="Calibri" w:hAnsi="Calibri"/>
          <w:b/>
          <w:bCs/>
          <w:color w:val="1C7293"/>
          <w:spacing w:val="50"/>
          <w:sz w:val="18"/>
          <w:szCs w:val="18"/>
        </w:rPr>
        <w:t xml:space="preserve">SUBMITTED BY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0B3C5D"/>
          <w:sz w:val="36"/>
          <w:szCs w:val="36"/>
        </w:rPr>
        <w:t xml:space="preserve">Perugu Venkata Aditya</w:t>
      </w:r>
    </w:p>
    <w:p>
      <w:pPr>
        <w:spacing w:after="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Mechanical Engineering (Digital Manufacturing)</w:t>
      </w:r>
    </w:p>
    <w:p>
      <w:pPr>
        <w:spacing w:after="30" w:before="260"/>
      </w:pPr>
      <w:r>
        <w:rPr>
          <w:rFonts w:ascii="Calibri" w:cs="Calibri" w:eastAsia="Calibri" w:hAnsi="Calibri"/>
          <w:b/>
          <w:bCs/>
          <w:color w:val="1C7293"/>
          <w:spacing w:val="50"/>
          <w:sz w:val="18"/>
          <w:szCs w:val="18"/>
        </w:rPr>
        <w:t xml:space="preserve">SUBMITTED FOR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0B3C5D"/>
          <w:sz w:val="28"/>
          <w:szCs w:val="28"/>
        </w:rPr>
        <w:t xml:space="preserve">NoonRay Energy Pvt. Ltd</w:t>
      </w:r>
    </w:p>
    <w:p>
      <w:pPr>
        <w:spacing w:after="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IIT Madras Industrial Park, Chennai</w:t>
      </w:r>
    </w:p>
    <w:p>
      <w:pPr>
        <w:spacing w:after="30" w:before="260"/>
      </w:pPr>
      <w:r>
        <w:rPr>
          <w:rFonts w:ascii="Calibri" w:cs="Calibri" w:eastAsia="Calibri" w:hAnsi="Calibri"/>
          <w:b/>
          <w:bCs/>
          <w:color w:val="1C7293"/>
          <w:spacing w:val="50"/>
          <w:sz w:val="18"/>
          <w:szCs w:val="18"/>
        </w:rPr>
        <w:t xml:space="preserve">DATE</w:t>
      </w:r>
    </w:p>
    <w:p>
      <w:pPr>
        <w:spacing w:after="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24-12-2025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5B895"/>
                <w:spacing w:val="40"/>
                <w:sz w:val="18"/>
                <w:szCs w:val="18"/>
              </w:rPr>
              <w:t xml:space="preserve">PART I</w:t>
            </w:r>
          </w:p>
          <w:p>
            <w:r>
              <w:rPr>
                <w:rFonts w:ascii="Cambria" w:cs="Cambria" w:eastAsia="Cambria" w:hAnsi="Cambria"/>
                <w:b/>
                <w:bCs/>
                <w:color w:val="FFFFFF"/>
                <w:sz w:val="32"/>
                <w:szCs w:val="32"/>
              </w:rPr>
              <w:t xml:space="preserve">Battery Temperature: Conduction vs Convection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743B" w:sz="24"/>
              <w:bottom w:val="none" w:color="FFFFFF" w:sz="0"/>
              <w:right w:val="none" w:color="FFFFFF" w:sz="0"/>
            </w:tcBorders>
            <w:shd w:fill="FDEEE5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43B"/>
                <w:sz w:val="21"/>
                <w:szCs w:val="21"/>
              </w:rPr>
              <w:t xml:space="preserve">Aim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Show how conductive and convective heat transfer change the temperature of a battery that generates a constant 1 kW of heat.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Two Simulink models</w:t>
      </w:r>
    </w:p>
    <w:p>
      <w:pPr>
        <w:spacing w:after="80" w:line="264"/>
      </w:pPr>
      <w:r>
        <w:rPr>
          <w:rFonts w:ascii="Calibri" w:cs="Calibri" w:eastAsia="Calibri" w:hAnsi="Calibri"/>
          <w:color w:val="5B6770"/>
          <w:sz w:val="21"/>
          <w:szCs w:val="21"/>
        </w:rPr>
        <w:t xml:space="preserve">The battery is treated as one lumped thermal mass. Fluid flow and electrochemistry are not modelled.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color w:val="1C7293"/>
          <w:sz w:val="21"/>
          <w:szCs w:val="21"/>
        </w:rPr>
        <w:t xml:space="preserve">A. Convective model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33750" cy="1905000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Battery loses heat directly to ambient through convection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color w:val="1C7293"/>
          <w:sz w:val="21"/>
          <w:szCs w:val="21"/>
        </w:rPr>
        <w:t xml:space="preserve">B. Conductive model with cold plate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048000" cy="2228850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Heat flows by conduction into a cold plate, then convects away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Blocks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923"/>
        <w:gridCol w:w="1950"/>
        <w:gridCol w:w="2923"/>
      </w:tblGrid>
      <w:tr>
        <w:trPr>
          <w:tblHeader/>
        </w:trPr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Thermal mass (battery)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Stores battery thermal energy</w:t>
            </w:r>
          </w:p>
        </w:tc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Thermal mass (cold plate)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Thermal inertia of the plate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Heat flow rate source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Internal heat generation, 1 kW</w:t>
            </w:r>
          </w:p>
        </w:tc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Temperature source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Ambient or coolant at constant temperature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Convective heat transfer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Surface-to-ambient heat loss</w:t>
            </w:r>
          </w:p>
        </w:tc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Temperature sensor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Records temperature vs time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Conductive heat transfer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Battery-to-cold-plate path</w:t>
            </w:r>
          </w:p>
        </w:tc>
        <w:tc>
          <w:tcPr>
            <w:tcW w:type="dxa" w:w="19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Solver configuration</w:t>
            </w:r>
          </w:p>
        </w:tc>
        <w:tc>
          <w:tcPr>
            <w:tcW w:type="dxa" w:w="29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Solves the physical network</w:t>
            </w:r>
          </w:p>
        </w:tc>
      </w:tr>
    </w:tbl>
    <w:p>
      <w:r>
        <w:br w:type="page"/>
      </w:r>
    </w:p>
    <w:p>
      <w:pPr>
        <w:spacing w:after="60"/>
      </w:pP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A. Convective cooling results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313.15 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Ambient temp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0.94 m²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Convection area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300 kg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Battery mass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1000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Cp, J/(kg·K)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1 kW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Heat input</w:t>
            </w:r>
          </w:p>
        </w:tc>
        <w:tc>
          <w:tcPr>
            <w:tcW w:type="dxa" w:w="162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1 hour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Simulated time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h = 5 W/m²·K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104775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320 K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h = 100 W/m²·K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1047750"/>
                  <wp:effectExtent t="0" r="0" b="0" l="0"/>
                  <wp:docPr id="1" name="image4.png" descr="image4.png" titl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318.7 K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h = 500 W/m²·K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1047750"/>
                  <wp:effectExtent t="0" r="0" b="0" l="0"/>
                  <wp:docPr id="1" name="image5.png" descr="image5.png" titl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315.2 K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743B" w:sz="24"/>
              <w:bottom w:val="none" w:color="FFFFFF" w:sz="0"/>
              <w:right w:val="none" w:color="FFFFFF" w:sz="0"/>
            </w:tcBorders>
            <w:shd w:fill="FDEEE5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43B"/>
                <w:sz w:val="21"/>
                <w:szCs w:val="21"/>
              </w:rPr>
              <w:t xml:space="preserve">Takeaway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 higher convective coefficient (h) rejects more heat, so the battery ends up cooler. Low h gives the biggest temperature rise.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B. Conductive cooling results (cold plate)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500×400×300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Battery, mm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5 cm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Cold plate thickness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237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k, W/(m·K)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293.15 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Cold plate temp</w:t>
            </w:r>
          </w:p>
        </w:tc>
        <w:tc>
          <w:tcPr>
            <w:tcW w:type="dxa" w:w="162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308.15 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Battery start temp</w:t>
            </w:r>
          </w:p>
        </w:tc>
        <w:tc>
          <w:tcPr>
            <w:tcW w:type="dxa" w:w="162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6F0F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C7293"/>
                <w:sz w:val="24"/>
                <w:szCs w:val="24"/>
              </w:rPr>
              <w:t xml:space="preserve">1 kW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Heat input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Layer = 8 mm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933450"/>
                  <wp:effectExtent t="0" r="0" b="0" l="0"/>
                  <wp:docPr id="1" name="image6.png" descr="image6.png" titl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293.33 K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Layer = 5 mm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962025"/>
                  <wp:effectExtent t="0" r="0" b="0" l="0"/>
                  <wp:docPr id="1" name="image7.png" descr="image7.png" titl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293.27 K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Layer = 3 mm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43100" cy="1047750"/>
                  <wp:effectExtent t="0" r="0" b="0" l="0"/>
                  <wp:docPr id="1" name="image8.png" descr="image8.png" titl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43B"/>
                <w:sz w:val="23"/>
                <w:szCs w:val="23"/>
              </w:rPr>
              <w:t xml:space="preserve">308 → 293.22 K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743B" w:sz="24"/>
              <w:bottom w:val="none" w:color="FFFFFF" w:sz="0"/>
              <w:right w:val="none" w:color="FFFFFF" w:sz="0"/>
            </w:tcBorders>
            <w:shd w:fill="FDEEE5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43B"/>
                <w:sz w:val="21"/>
                <w:szCs w:val="21"/>
              </w:rPr>
              <w:t xml:space="preserve">Takeaway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Temperature drops fast and settles close to the cold plate temperature. A thinner conductive layer gives a quicker initial drop because its thermal resistance is lower.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Part I conclusion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23"/>
        <w:gridCol w:w="3223"/>
      </w:tblGrid>
      <w:tr>
        <w:trPr>
          <w:tblHeader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Convective (direct to ambient)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Conductive (cold plate)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Final battery temperature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315 – 320 K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≈ 293 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Speed of response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Slow, gradual rise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Rapid drop, then stable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Governing factor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Convective coefficient h</w:t>
            </w:r>
          </w:p>
        </w:tc>
        <w:tc>
          <w:tcPr>
            <w:tcW w:type="dxa" w:w="3223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Thermal resistance of layer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Cold-plate conduction stabilises the battery faster and at a lower temperature than direct convection under the same heat load.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5B895"/>
                <w:spacing w:val="40"/>
                <w:sz w:val="18"/>
                <w:szCs w:val="18"/>
              </w:rPr>
              <w:t xml:space="preserve">PART II</w:t>
            </w:r>
          </w:p>
          <w:p>
            <w:r>
              <w:rPr>
                <w:rFonts w:ascii="Cambria" w:cs="Cambria" w:eastAsia="Cambria" w:hAnsi="Cambria"/>
                <w:b/>
                <w:bCs/>
                <w:color w:val="FFFFFF"/>
                <w:sz w:val="32"/>
                <w:szCs w:val="32"/>
              </w:rPr>
              <w:t xml:space="preserve">R-1234yf Vapour-Compression Cycle in Simulink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743B" w:sz="24"/>
              <w:bottom w:val="none" w:color="FFFFFF" w:sz="0"/>
              <w:right w:val="none" w:color="FFFFFF" w:sz="0"/>
            </w:tcBorders>
            <w:shd w:fill="FDEEE5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43B"/>
                <w:sz w:val="21"/>
                <w:szCs w:val="21"/>
              </w:rPr>
              <w:t xml:space="preserve">Aim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Build a closed-loop refrigeration model (evaporator, compressor, condenser) and verify it on a pressure–enthalpy (P–H) diagram.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Simulink model of the cycle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Closed refrigerant loop with p–h sensors feeding the P–H diagram block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Main components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the cycle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Evaporator tube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Low-pressure refrigerant absorbs heat and changes phase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Heat load + cold plate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Applies the heat load to the evaporator by conduction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Positive displacement compressor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Raises refrigerant pressure and enthalpy using mechanical work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Compressor drive &amp; speed input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Supplies controlled mechanical power; speed can be varied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Condenser pass 1 &amp; 2 + manifolds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Reject heat from high-pressure refrigerant in stages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R-1234yf property block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Gives realistic phase change and P–H behaviour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p–h sensors + P–H generator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Read state points and plot the cycle for validation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Thermal solver / ground</w:t>
            </w:r>
          </w:p>
        </w:tc>
        <w:tc>
          <w:tcPr>
            <w:tcW w:type="dxa" w:w="66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Keeps the energy balance stable and convergent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Result: P–H diagram of R-1234yf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524250" cy="2657475"/>
            <wp:effectExtent t="0" r="0" b="0" l="0"/>
            <wp:docPr id="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Simulated cycle plotted on the R-1234yf pressure–enthalpy chart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71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3C5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diagram shows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Evaporation</w:t>
            </w:r>
          </w:p>
        </w:tc>
        <w:tc>
          <w:tcPr>
            <w:tcW w:type="dxa" w:w="71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Moves right to higher enthalpy: heat absorbed from the 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71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Pressure and enthalpy rise sharply: work added by the compressor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Condensation</w:t>
            </w:r>
          </w:p>
        </w:tc>
        <w:tc>
          <w:tcPr>
            <w:tcW w:type="dxa" w:w="71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Enthalpy falls at nearly constant pressure: heat rejected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C5D"/>
                <w:sz w:val="19"/>
                <w:szCs w:val="19"/>
              </w:rPr>
              <w:t xml:space="preserve">Pressure drop</w:t>
            </w:r>
          </w:p>
        </w:tc>
        <w:tc>
          <w:tcPr>
            <w:tcW w:type="dxa" w:w="7146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F4F8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Flow restrictions cause throttling between condenser and evaporator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loop shows all four processes and stays stable without diverging.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Refrigerant leaves the evaporator superheated, so all the heat is absorbed.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expansion valve is modelled; pressure drops in the manifolds and pipes act as throttling.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743B" w:sz="24"/>
              <w:bottom w:val="none" w:color="FFFFFF" w:sz="0"/>
              <w:right w:val="none" w:color="FFFFFF" w:sz="0"/>
            </w:tcBorders>
            <w:shd w:fill="FDEEE5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43B"/>
                <w:sz w:val="21"/>
                <w:szCs w:val="21"/>
              </w:rPr>
              <w:t xml:space="preserve">Conclusion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results match refrigeration theory, and the modular model can be extended later, for example with an expansion valve control.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0B3C5D"/>
          <w:sz w:val="26"/>
          <w:szCs w:val="26"/>
        </w:rPr>
        <w:t xml:space="preserve">Link to my project: the scroll compressor</w:t>
      </w:r>
    </w:p>
    <w:p>
      <w:pPr>
        <w:spacing w:after="8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 this cycle the compressor is the positive displacement component. My project designs that component as a scroll compressor, with a fixed and an orbiting scroll. Together they cover the full chain from battery heat to refrigerant compression.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429250" cy="1790700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Where my scroll compressor sits in an EV battery cooling loop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7"/>
        <w:szCs w:val="17"/>
      </w:rPr>
      <w:t xml:space="preserve">Mechanical Engineering (Digital Manufacturing)   •   Page </w:t>
    </w:r>
    <w:r>
      <w:rPr>
        <w:rFonts w:ascii="Calibri" w:cs="Calibri" w:eastAsia="Calibri" w:hAnsi="Calibri"/>
        <w:color w:val="5B67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7"/>
        <w:szCs w:val="17"/>
      </w:rPr>
      <w:t xml:space="preserve">Internship Report  |  Perugu Venkata Aditya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E874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4e52da7a65806fd2a460d343d13f8a186bf308.png"/><Relationship Id="rId10" Type="http://schemas.openxmlformats.org/officeDocument/2006/relationships/image" Target="media/f729e3e7cf8c81dc331dd68ab9b16f32258124da.png"/><Relationship Id="rId11" Type="http://schemas.openxmlformats.org/officeDocument/2006/relationships/image" Target="media/86ed24bc348e3db2880c27cdc007d6bb55876ad3.png"/><Relationship Id="rId12" Type="http://schemas.openxmlformats.org/officeDocument/2006/relationships/image" Target="media/f2c5a188b9186cf9d45fb4daad9210f011b49960.png"/><Relationship Id="rId13" Type="http://schemas.openxmlformats.org/officeDocument/2006/relationships/image" Target="media/9baf61e5b0849b395eaacd194f8006aa0b3d8ab6.png"/><Relationship Id="rId14" Type="http://schemas.openxmlformats.org/officeDocument/2006/relationships/image" Target="media/ade04c11660cb44a3aaa2a995ead19a29ea23fca.png"/><Relationship Id="rId15" Type="http://schemas.openxmlformats.org/officeDocument/2006/relationships/image" Target="media/197ddb9a22b25e439d5de9741ea19830f0161e57.png"/><Relationship Id="rId16" Type="http://schemas.openxmlformats.org/officeDocument/2006/relationships/image" Target="media/72c554f603c4375f564e325d09ac620030ebdbaa.png"/><Relationship Id="rId17" Type="http://schemas.openxmlformats.org/officeDocument/2006/relationships/image" Target="media/9671cb6f0789e233218982b687f6a5e0d20cbade.png"/><Relationship Id="rId18" Type="http://schemas.openxmlformats.org/officeDocument/2006/relationships/image" Target="media/9e40efbf8ae5f421158998f7e1025273432d670f.png"/><Relationship Id="rId19" Type="http://schemas.openxmlformats.org/officeDocument/2006/relationships/image" Target="media/12c64b0fb8b85fa56a2358d51066e9f1ab72100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</dc:title>
  <dc:creator>Perugu Venkata Aditya</dc:creator>
  <cp:lastModifiedBy>Un-named</cp:lastModifiedBy>
  <cp:revision>1</cp:revision>
  <dcterms:created xsi:type="dcterms:W3CDTF">2026-10-25T05:27:41.858Z</dcterms:created>
  <dcterms:modified xsi:type="dcterms:W3CDTF">2026-10-25T05:27:41.858Z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