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p>
      <w:pPr>
        <w:pStyle w:val="Title"/>
        <w:jc w:val="center"/>
      </w:pPr>
      <w:r>
        <w:t>Write-Read Co-Design for Cross-Region LLM Agent Session Handoff: An Exhaustive Compatibility Surface Analysis</w:t>
      </w:r>
    </w:p>
    <w:p>
      <w:pPr>
        <w:pStyle w:val="Authors"/>
        <w:jc w:val="center"/>
      </w:pPr>
      <w:r>
        <w:t>Padmajeet Dashrath Mhaske</w:t>
      </w:r>
    </w:p>
    <w:p>
      <w:pPr>
        <w:jc w:val="center"/>
      </w:pPr>
      <w:r>
        <w:t>Vice President, AI/ML Platform Architect, JPMorgan Chase</w:t>
      </w:r>
    </w:p>
    <w:p>
      <w:pPr>
        <w:jc w:val="center"/>
      </w:pPr>
      <w:r>
        <w:t>ORCID: 0009-0008-6285-813X</w:t>
      </w:r>
    </w:p>
    <w:p>
      <w:pPr>
        <w:pStyle w:val="Abstract"/>
      </w:pPr>
      <w:r>
        <w:rPr>
          <w:b/>
        </w:rPr>
        <w:t>Abstract—</w:t>
      </w:r>
      <w:r>
        <w:t>Long-running LLM agent sessions accumulate substantial conversational context that must transfer across geographic regions during failover, load rebalancing, or user mobility events. Current practice either transmits the full context (expensive in tokens and WAN latency) or discards it entirely (destroying agent continuity). No prior work has systematically benchmarked the interaction between the write strategy that persists agent state to distributed storage and the read strategy that reconstructs that state at the receiving region. We present a two-tier architecture coupling Redis hot-cache with Apache Cassandra cross-region durable storage, and define five write engines (W0–W4: naive synchronous, selective flush, WAL+async batch, CRDT G-Set merge, and adaptive pre-flush) paired with five read engines (R0–R4: full dump, milestone hydration, LLM summarization, semantic RAG, and MemGPT hierarchical retrieval). We exhaustively benchmark all 25 write×read combinations using a dual-prompt LLM-as-a-Judge protocol that independently scores state fidelity and conversational continuity. Our experiments reveal that independently optimal algorithms are not jointly optimal: pairing W1 (milestone-only write) with R1 (milestone-only read) compounds context loss, degrading state integrity to 0.417. W1+R4 (Selective Flush × MemGPT Hierarchical) achieves the Pareto-optimal configuration at σ_integrity = 0.985 (std = 0.085). We further show that Semantic RAG (R3) is uniquely sensitive to write engine selection: naive full-write (W0) degrades R3 integrity by 7.2 percentage points vs. stub, while adaptive pre-flush (W4+R3 = 0.941) eliminates the penalty. These findings establish a co-design principle: write and read strategies must be optimized jointly, as independent layer-by-layer tuning produces measurable interference that degrades agent continuity at handoff boundaries.</w:t>
      </w:r>
    </w:p>
    <w:p>
      <w:pPr>
        <w:pStyle w:val="IndexTerms"/>
      </w:pPr>
      <w:r>
        <w:rPr>
          <w:b/>
        </w:rPr>
        <w:t>Index Terms—</w:t>
      </w:r>
      <w:r>
        <w:t>conflict-free replicated data types, context retrieval, distributed systems, large language models, multi-region replication, session management</w:t>
      </w:r>
    </w:p>
    <w:p>
      <w:pPr>
        <w:sectPr>
          <w:type w:val="continuous"/>
          <w:cols w:num="2" w:space="720"/>
        </w:sectPr>
      </w:pPr>
    </w:p>
    <w:p>
      <w:pPr>
        <w:pStyle w:val="Heading1"/>
      </w:pPr>
      <w:r>
        <w:t>I. INTRODUCTION</w:t>
      </w:r>
    </w:p>
    <w:p>
      <w:pPr>
        <w:pStyle w:val="PARAIndent"/>
      </w:pPr>
      <w:r>
        <w:t>Modern AI agents accumulate long-running, multi-turn task histories spanning hours or days—debugging sessions, document review workflows, clinical decision-support interactions. When these sessions cross regional boundaries due to failover, load rebalancing, or user mobility, operators face an unresolved trade-off: transmit the full context (expensive in API tokens and WAN latency) or discard it (destroying agent continuity). Neither is acceptable at scale.</w:t>
      </w:r>
    </w:p>
    <w:p>
      <w:pPr>
        <w:pStyle w:val="PARAIndent"/>
      </w:pPr>
      <w:r>
        <w:t>The two-tier storage architecture that underlies modern cloud applications suggests a solution: use a fast in-memory cache (Redis) as the active session store and a durable distributed database (Apache Cassandra) as the cross-region replication medium. This creates two algorithmic sub-problems at tier boundaries: write engines (how state is persisted from Redis to Cassandra) and read engines (how context is reconstructed from Cassandra at handoff). Prior work addresses each boundary independently. This paper examines their interaction.</w:t>
      </w:r>
    </w:p>
    <w:p>
      <w:pPr>
        <w:pStyle w:val="PARAIndent"/>
      </w:pPr>
      <w:r>
        <w:t>We define five write engines (W0–W4) and five read engines (R0–R4) spanning the design space from naive full-flush to CRDT-based active-active replication, and from full context dump to MemGPT-style hierarchical memory reconstruction. We evaluate all 25 pairings using a dual-prompt LLM-as-a-Judge protocol measuring state fidelity and conversational continuity. The complete 5×5 compatibility surface reveals interference patterns invisible to per-layer ablation studies and establishes a co-design principle for practitioners.</w:t>
      </w:r>
    </w:p>
    <w:p>
      <w:pPr>
        <w:pStyle w:val="Text"/>
      </w:pPr>
      <w:r>
        <w:rPr>
          <w:b/>
        </w:rPr>
        <w:t xml:space="preserve">Research Questions: </w:t>
      </w:r>
      <w:r>
        <w:t>RQ1 (Write Efficiency) — Which write strategy minimizes flush latency and bytes written without compromising durability? RQ2 (Read Fidelity) — Which hydration strategy best preserves conversational continuity while minimizing tokens and latency? RQ3 (Compatibility Surface) — Do efficiency gains compound, or does interference between layers diminish them? RQ4 (Co-design Advantage) — What is the Pareto-optimal write×read pair?</w:t>
      </w:r>
    </w:p>
    <w:p>
      <w:pPr>
        <w:pStyle w:val="PARAIndent"/>
      </w:pPr>
      <w:r>
        <w:t>Contributions: (1) A two-tier Redis+Cassandra architecture with formal write×read design space definitions. (2) Five write engines and five read engines including novel CRDT G-Set and adaptive sigmoid pre-flush. (3) The first exhaustive 5×5 compatibility surface benchmark with dual-prompt LLM judge. (4) Empirical discovery that R3 (Semantic RAG) is uniquely write-engine-sensitive: W4+R3 = 0.942 optimal; W0+R3 = 0.858 worst. (5) A co-design principle: write and read layers must be jointly optimized.</w:t>
      </w:r>
    </w:p>
    <w:p>
      <w:pPr>
        <w:pStyle w:val="Heading1"/>
      </w:pPr>
      <w:r>
        <w:t>II. RELATED WORK</w:t>
      </w:r>
    </w:p>
    <w:p>
      <w:pPr>
        <w:pStyle w:val="Heading2"/>
      </w:pPr>
      <w:r>
        <w:t>A. Multi-Region Distributed Storage</w:t>
      </w:r>
    </w:p>
    <w:p>
      <w:pPr>
        <w:pStyle w:val="PARAIndent"/>
      </w:pPr>
      <w:r>
        <w:t>Dynamo [3] pioneered leaderless replication with eventual consistency, quorum writes, and vector clocks. Cassandra [4] extends this with wide-column storage optimized for range-scan access (needed by R0 and R4). Google Spanner [5] represents the strong-consistency end; we position this paper at the opposite end, trading consistency for availability under bounded-staleness session semantics. CockroachDB [6] demonstrates region-pinned rows in multi-region SQL. No prior distributed systems work considers the write×read interaction for LLM agent session state.</w:t>
      </w:r>
    </w:p>
    <w:p>
      <w:pPr>
        <w:pStyle w:val="Heading2"/>
      </w:pPr>
      <w:r>
        <w:t>B. LLM Agent Memory and Context Management</w:t>
      </w:r>
    </w:p>
    <w:p>
      <w:pPr>
        <w:pStyle w:val="PARAIndent"/>
      </w:pPr>
      <w:r>
        <w:t>MemGPT [7] frames LLM context as an OS memory hierarchy: in-context main memory vs. external storage disk. Our R4 engine implements this hierarchy but extends it across geographic boundaries—MemGPT provides no cross-region transfer mechanism. RAG [8] grounds LLM outputs with retrieved corpora; our R3 engine applies RAG semantics to session reconstruction with all-MiniLM-L6-v2 [9] embeddings. LLMLingua [11] demonstrates 20× prompt compression, directly motivating R2 (LLM Summarization) and the compression-ratio metric.</w:t>
      </w:r>
    </w:p>
    <w:p>
      <w:pPr>
        <w:pStyle w:val="Heading2"/>
      </w:pPr>
      <w:r>
        <w:t>C. LLM Evaluation and LLM-as-a-Judge</w:t>
      </w:r>
    </w:p>
    <w:p>
      <w:pPr>
        <w:pStyle w:val="PARAIndent"/>
      </w:pPr>
      <w:r>
        <w:t>G-Eval [12] proposes chain-of-thought LLM scoring that outperforms n-gram metrics. Zheng et al. [13] validate LLM-as-a-judge via MT-Bench, identifying position and verbosity biases. Our dual-prompt judge follows the G-Eval form-filling structure with separate fidelity and continuity prompts, preventing the judge from conflating token recall with semantic coherence.</w:t>
      </w:r>
    </w:p>
    <w:p>
      <w:pPr>
        <w:pStyle w:val="Heading2"/>
      </w:pPr>
      <w:r>
        <w:t>D. Cost-Efficient Inference</w:t>
      </w:r>
    </w:p>
    <w:p>
      <w:pPr>
        <w:pStyle w:val="PARAIndent"/>
      </w:pPr>
      <w:r>
        <w:t>PagedAttention [14] introduces paged GPU KV-cache management motivating token-budget constraints modeled in our write engine cost analysis (Eq. 6). Together, [11] and [14] frame the cost-fidelity frontier this paper maps empirically across 25 write×read combinations.</w:t>
      </w:r>
    </w:p>
    <w:p>
      <w:pPr>
        <w:pStyle w:val="Heading2"/>
      </w:pPr>
      <w:r>
        <w:t>E. Positioning Summary</w:t>
      </w:r>
    </w:p>
    <w:p>
      <w:pPr>
        <w:pStyle w:val="PARAIndent"/>
      </w:pPr>
      <w:r>
        <w:t>Existing work addresses agent memory within a region [7–11] and request routing across regions [3–6] as separate problems. No prior work examines agent state at the boundary between these layers. This paper defines the write×read interaction as an independent research problem and produces the first exhaustive empirical benchmark of the 5×5 compatibility surface.</w:t>
      </w:r>
    </w:p>
    <w:p>
      <w:pPr>
        <w:pStyle w:val="Heading1"/>
      </w:pPr>
      <w:r>
        <w:t>III. SYSTEM ARCHITECTURE</w:t>
      </w:r>
    </w:p>
    <w:p>
      <w:pPr>
        <w:pStyle w:val="Heading2"/>
      </w:pPr>
      <w:r>
        <w:t>A. Overview</w:t>
      </w:r>
    </w:p>
    <w:p>
      <w:pPr>
        <w:pStyle w:val="PARAIndent"/>
      </w:pPr>
      <w:r>
        <w:t>The architecture couples two storage tiers. Redis serves as a sub-millisecond volatile hot-cache local to each region—the active agent writes every conversational trace to local Redis as turns complete. Apache Cassandra serves as the durable multi-master geo-distributed replication medium. Two crossover points define the research problem: Crossover 1 (write engines W0–W4) moves volatile session state into durable cross-region storage; Crossover 2 (read engines R0–R4) reconstructs context at the receiving region.</w:t>
      </w:r>
    </w:p>
    <w:p>
      <w:pPr>
        <w:pStyle w:val="Text"/>
        <w:jc w:val="center"/>
      </w:pPr>
      <w:r>
        <w:t>REGION A → [Redis A] ―― Crossover 1: W0–W4 ―― [Cassandra] ―― Crossover 2: R0–R4 ―― [Redis B] → REGION B</w:t>
      </w:r>
    </w:p>
    <w:p>
      <w:pPr>
        <w:pStyle w:val="FigureCaption"/>
        <w:jc w:val="center"/>
      </w:pPr>
      <w:r>
        <w:rPr>
          <w:b/>
        </w:rPr>
        <w:t xml:space="preserve">Fig. 1. </w:t>
      </w:r>
      <w:r>
        <w:t>Two-tier Redis+Cassandra architecture for cross-region LLM agent handoff.</w:t>
      </w:r>
    </w:p>
    <w:p>
      <w:pPr>
        <w:pStyle w:val="Heading2"/>
      </w:pPr>
      <w:r>
        <w:t>B. Session State Model</w:t>
      </w:r>
    </w:p>
    <w:p>
      <w:pPr>
        <w:pStyle w:val="PARAIndent"/>
      </w:pPr>
      <w:r>
        <w:t>A session state S = ⟨t₁, t₂, …, t_n⟩ is a time-ordered sequence of traces. Each trace t_i records: role ∈ {user, assistant, system}, content, Unix timestamp, and milestone flag m_i ∈ {0,1} indicating a semantically significant decision point. Traces are keyed in Cassandra by (session_id, turn_index) using a wide-column partition-range model, enabling O(1) point lookups (R1), O(n) range scans (R0), and chunked archival iteration (R4).</w:t>
      </w:r>
    </w:p>
    <w:p>
      <w:pPr>
        <w:pStyle w:val="Heading2"/>
      </w:pPr>
      <w:r>
        <w:t>C. Crossover 1 — Write Engines</w:t>
      </w:r>
    </w:p>
    <w:p>
      <w:pPr>
        <w:pStyle w:val="PARAIndent"/>
      </w:pPr>
      <w:r>
        <w:t>Each WAN round-trip costs 100–200 ms in production. The naive strategy (W0) incurs one RTT per turn. W1–W4 answer: when to flush and how to structure the flush to minimize WAN cost without risking data loss. W1 uses QUORUM for milestone writes and defers non-milestone traces in local Redis. W2 uses ONE for WAL drain batches (throughput priority). W3 relies on Cassandra’s multi-master architecture for CRDT G-Set merge.</w:t>
      </w:r>
    </w:p>
    <w:p>
      <w:pPr>
        <w:pStyle w:val="Heading2"/>
      </w:pPr>
      <w:r>
        <w:t>D. Crossover 2 — Read Engines</w:t>
      </w:r>
    </w:p>
    <w:p>
      <w:pPr>
        <w:pStyle w:val="PARAIndent"/>
      </w:pPr>
      <w:r>
        <w:t>Crossover 2 is the context fidelity path. The question is not when to read but how much and in what form. Full reconstruction (R0) guarantees fidelity at O(n) token cost. Compressed strategies (R1–R4) trade fidelity for token efficiency, quantified by compression ratio CR (Eq. 5) and LLM judge scores σ_integrity and σ_retrieval (Eq. 4).</w:t>
      </w:r>
    </w:p>
    <w:p>
      <w:pPr>
        <w:pStyle w:val="Heading2"/>
      </w:pPr>
      <w:r>
        <w:t>E. Why Cassandra</w:t>
      </w:r>
    </w:p>
    <w:p>
      <w:pPr>
        <w:pStyle w:val="PARAIndent"/>
      </w:pPr>
      <w:r>
        <w:t>Cassandra’s multi-master write model allows both regions to write without central coordination (required by W3 CRDT merge). Its wide-column model supports mixed access patterns. Its tunable consistency lets write engines exploit per-write durability trade-offs. Production deployments at Netflix, Apple, and Discord validate the replication topology assumed by this paper.</w:t>
      </w:r>
    </w:p>
    <w:p>
      <w:pPr>
        <w:pStyle w:val="Heading1"/>
      </w:pPr>
      <w:r>
        <w:t>IV. ALGORITHMS AND DESIGN</w:t>
      </w:r>
    </w:p>
    <w:p>
      <w:pPr>
        <w:pStyle w:val="Heading2"/>
      </w:pPr>
      <w:r>
        <w:t>A. Write Engines W0–W4</w:t>
      </w:r>
    </w:p>
    <w:p>
      <w:pPr>
        <w:pStyle w:val="Equation"/>
        <w:jc w:val="center"/>
      </w:pPr>
      <w:r>
        <w:t>S = ⟨t₁, t₂, …, t_n⟩,  t_i = (role_i, content_i, ts_i, m_i)   (1)</w:t>
      </w:r>
    </w:p>
    <w:p>
      <w:pPr>
        <w:pStyle w:val="PARAIndent"/>
      </w:pPr>
      <w:r>
        <w:t>W0 (Naive Synchronous): flushes all n traces synchronously at handoff. Latency = O(n × WAN_RTT). W1 (Selective Flush): flushes only milestone traces (m_i = 1) during the session, deferring non-milestone traces. W2 (WAL+Async Batch): writes to a local Write-Ahead Log, draining asynchronously in batches. W3 (CRDT G-Set Merge): uses a G-Set CRDT for conflict-free active-active replication:</w:t>
      </w:r>
    </w:p>
    <w:p>
      <w:pPr>
        <w:pStyle w:val="Equation"/>
        <w:jc w:val="center"/>
      </w:pPr>
      <w:r>
        <w:t>S_A ⋁ S_B = S_A ∪ S_B   (G-Set join, commutative &amp; idempotent)   (2)</w:t>
      </w:r>
    </w:p>
    <w:p>
      <w:pPr>
        <w:pStyle w:val="PARAIndent"/>
      </w:pPr>
      <w:r>
        <w:t>W4 (Adaptive Pre-flush): uses a sigmoid importance predictor to pre-flush high-priority traces continuously:</w:t>
      </w:r>
    </w:p>
    <w:p>
      <w:pPr>
        <w:pStyle w:val="Equation"/>
        <w:jc w:val="center"/>
      </w:pPr>
      <w:r>
        <w:t>P(flush | t_i) = σ(w·m_i + v·len(content_i) + u·turn_rank_i)   (3)</w:t>
      </w:r>
    </w:p>
    <w:p>
      <w:pPr>
        <w:pStyle w:val="Heading2"/>
      </w:pPr>
      <w:r>
        <w:t>B. Read Engines R0–R4</w:t>
      </w:r>
    </w:p>
    <w:p>
      <w:pPr>
        <w:pStyle w:val="PARAIndent"/>
      </w:pPr>
      <w:r>
        <w:t>R0 (Full Dump): reconstructs the complete session from Cassandra. Guaranteed fidelity, O(n) tokens. R1 (Milestone Hydration): retrieves only milestone traces (m_i = 1), reducing tokens by ~51%. R2 (LLM Summarization): calls a separate LLM to compress the full session into a structured summary before handoff. R3 (Semantic RAG): embeds all traces with all-MiniLM-L6-v2, stores in FAISS, queries at handoff. R4 (MemGPT Hierarchical): two-tier reconstruction—recent turns verbatim, older turns recursively compressed into archival summaries.</w:t>
      </w:r>
    </w:p>
    <w:p>
      <w:pPr>
        <w:pStyle w:val="PARAIndent"/>
      </w:pPr>
      <w:r>
        <w:t>The dual-prompt LLM-as-a-Judge scoring:</w:t>
      </w:r>
    </w:p>
    <w:p>
      <w:pPr>
        <w:pStyle w:val="Equation"/>
        <w:jc w:val="center"/>
      </w:pPr>
      <w:r>
        <w:t>σ_integrity, σ_retrieval ∈ [0,1]  (normalized Likert, Eq. 4)</w:t>
      </w:r>
    </w:p>
    <w:p>
      <w:pPr>
        <w:pStyle w:val="Equation"/>
        <w:jc w:val="center"/>
      </w:pPr>
      <w:r>
        <w:t>CR = T_R0 / T_Rx   (compression ratio, Eq. 5)</w:t>
      </w:r>
    </w:p>
    <w:p>
      <w:pPr>
        <w:pStyle w:val="Equation"/>
        <w:jc w:val="center"/>
      </w:pPr>
      <w:r>
        <w:t>Cost = α × tokens_in + β × tokens_out  (Eq. 6, α=\$1/1M, β=\$5/1M)</w:t>
      </w:r>
    </w:p>
    <w:p>
      <w:pPr>
        <w:pStyle w:val="Heading1"/>
      </w:pPr>
      <w:r>
        <w:t>V. EXPERIMENTAL METHODOLOGY</w:t>
      </w:r>
    </w:p>
    <w:p>
      <w:pPr>
        <w:pStyle w:val="Heading2"/>
      </w:pPr>
      <w:r>
        <w:t>A. Experiment Structure</w:t>
      </w:r>
    </w:p>
    <w:p>
      <w:pPr>
        <w:pStyle w:val="PARAIndent"/>
      </w:pPr>
      <w:r>
        <w:t>Four experiments address the four RQs: Experiment A isolates the write side (W0–W4, R0 fixed, n=100); Experiment B isolates the read side (R0–R4, W0 fixed, n=100); Experiment D exhaustively covers all 25 pairs (n=100 each, 2,500 total iterations using CASSANDRA_STUB=1); Experiment D* (RUN-007) re-measures the R3 column with real Apache Cassandra 4.1 (n=30 per pair, Docker Desktop).</w:t>
      </w:r>
    </w:p>
    <w:p>
      <w:pPr>
        <w:pStyle w:val="Heading2"/>
      </w:pPr>
      <w:r>
        <w:t>B. Environment Configuration</w:t>
      </w:r>
    </w:p>
    <w:p>
      <w:pPr>
        <w:pStyle w:val="TableTitle"/>
        <w:jc w:val="center"/>
      </w:pPr>
      <w:r>
        <w:rPr>
          <w:b/>
        </w:rPr>
        <w:t>TABLE I</w:t>
      </w:r>
    </w:p>
    <w:p>
      <w:pPr>
        <w:pStyle w:val="TableTitle"/>
        <w:jc w:val="center"/>
      </w:pPr>
      <w:r>
        <w:t>Experimental Environment Configuration</w:t>
      </w:r>
    </w:p>
    <w:tbl>
      <w:tblPr>
        <w:tblW w:type="auto" w:w="0"/>
        <w:jc w:val="center"/>
        <w:tblLook w:firstColumn="1" w:firstRow="1" w:lastColumn="0" w:lastRow="0" w:noHBand="0" w:noVBand="1" w:val="04A0"/>
      </w:tblPr>
      <w:tblGrid>
        <w:gridCol w:w="5184"/>
        <w:gridCol w:w="5184"/>
      </w:tblGrid>
      <w:tr>
        <w:tc>
          <w:tcPr>
            <w:tcW w:type="dxa" w:w="2160"/>
            <w:tcBorders>
              <w:top w:val="single" w:sz="4" w:space="0" w:color="000000"/>
              <w:left w:val="single" w:sz="4" w:space="0" w:color="000000"/>
              <w:bottom w:val="single" w:sz="4" w:space="0" w:color="000000"/>
              <w:right w:val="single" w:sz="4" w:space="0" w:color="000000"/>
            </w:tcBorders>
          </w:tcPr>
          <w:p>
            <w:pPr>
              <w:jc w:val="center"/>
            </w:pPr>
            <w:r>
              <w:rPr>
                <w:b/>
              </w:rPr>
              <w:t>Component</w:t>
            </w:r>
          </w:p>
        </w:tc>
        <w:tc>
          <w:tcPr>
            <w:tcW w:type="dxa" w:w="2880"/>
            <w:tcBorders>
              <w:top w:val="single" w:sz="4" w:space="0" w:color="000000"/>
              <w:left w:val="single" w:sz="4" w:space="0" w:color="000000"/>
              <w:bottom w:val="single" w:sz="4" w:space="0" w:color="000000"/>
              <w:right w:val="single" w:sz="4" w:space="0" w:color="000000"/>
            </w:tcBorders>
          </w:tcPr>
          <w:p>
            <w:pPr>
              <w:jc w:val="center"/>
            </w:pPr>
            <w:r>
              <w:rPr>
                <w:b/>
              </w:rPr>
              <w:t>Configuration</w:t>
            </w:r>
          </w:p>
        </w:tc>
      </w:tr>
      <w:tr>
        <w:tc>
          <w:tcPr>
            <w:tcW w:type="dxa" w:w="2160"/>
            <w:tcBorders>
              <w:top w:val="single" w:sz="4" w:space="0" w:color="000000"/>
              <w:left w:val="single" w:sz="4" w:space="0" w:color="000000"/>
              <w:bottom w:val="single" w:sz="4" w:space="0" w:color="000000"/>
              <w:right w:val="single" w:sz="4" w:space="0" w:color="000000"/>
            </w:tcBorders>
          </w:tcPr>
          <w:p>
            <w:pPr>
              <w:jc w:val="center"/>
            </w:pPr>
            <w:r>
              <w:t>Redis A/B</w:t>
            </w:r>
          </w:p>
        </w:tc>
        <w:tc>
          <w:tcPr>
            <w:tcW w:type="dxa" w:w="2880"/>
            <w:tcBorders>
              <w:top w:val="single" w:sz="4" w:space="0" w:color="000000"/>
              <w:left w:val="single" w:sz="4" w:space="0" w:color="000000"/>
              <w:bottom w:val="single" w:sz="4" w:space="0" w:color="000000"/>
              <w:right w:val="single" w:sz="4" w:space="0" w:color="000000"/>
            </w:tcBorders>
          </w:tcPr>
          <w:p>
            <w:pPr>
              <w:jc w:val="center"/>
            </w:pPr>
            <w:r>
              <w:t>redis-server 7.0.15, ports 6379/6380, maxmemory 512 MB</w:t>
            </w:r>
          </w:p>
        </w:tc>
      </w:tr>
      <w:tr>
        <w:tc>
          <w:tcPr>
            <w:tcW w:type="dxa" w:w="2160"/>
            <w:tcBorders>
              <w:top w:val="single" w:sz="4" w:space="0" w:color="000000"/>
              <w:left w:val="single" w:sz="4" w:space="0" w:color="000000"/>
              <w:bottom w:val="single" w:sz="4" w:space="0" w:color="000000"/>
              <w:right w:val="single" w:sz="4" w:space="0" w:color="000000"/>
            </w:tcBorders>
          </w:tcPr>
          <w:p>
            <w:pPr>
              <w:jc w:val="center"/>
            </w:pPr>
            <w:r>
              <w:t>Cassandra (RUN-006)</w:t>
            </w:r>
          </w:p>
        </w:tc>
        <w:tc>
          <w:tcPr>
            <w:tcW w:type="dxa" w:w="2880"/>
            <w:tcBorders>
              <w:top w:val="single" w:sz="4" w:space="0" w:color="000000"/>
              <w:left w:val="single" w:sz="4" w:space="0" w:color="000000"/>
              <w:bottom w:val="single" w:sz="4" w:space="0" w:color="000000"/>
              <w:right w:val="single" w:sz="4" w:space="0" w:color="000000"/>
            </w:tcBorders>
          </w:tcPr>
          <w:p>
            <w:pPr>
              <w:jc w:val="center"/>
            </w:pPr>
            <w:r>
              <w:t>In-memory stub (CASSANDRA_STUB=1); near-zero flush latency</w:t>
            </w:r>
          </w:p>
        </w:tc>
      </w:tr>
      <w:tr>
        <w:tc>
          <w:tcPr>
            <w:tcW w:type="dxa" w:w="2160"/>
            <w:tcBorders>
              <w:top w:val="single" w:sz="4" w:space="0" w:color="000000"/>
              <w:left w:val="single" w:sz="4" w:space="0" w:color="000000"/>
              <w:bottom w:val="single" w:sz="4" w:space="0" w:color="000000"/>
              <w:right w:val="single" w:sz="4" w:space="0" w:color="000000"/>
            </w:tcBorders>
          </w:tcPr>
          <w:p>
            <w:pPr>
              <w:jc w:val="center"/>
            </w:pPr>
            <w:r>
              <w:t>Cassandra (RUN-007)</w:t>
            </w:r>
          </w:p>
        </w:tc>
        <w:tc>
          <w:tcPr>
            <w:tcW w:type="dxa" w:w="2880"/>
            <w:tcBorders>
              <w:top w:val="single" w:sz="4" w:space="0" w:color="000000"/>
              <w:left w:val="single" w:sz="4" w:space="0" w:color="000000"/>
              <w:bottom w:val="single" w:sz="4" w:space="0" w:color="000000"/>
              <w:right w:val="single" w:sz="4" w:space="0" w:color="000000"/>
            </w:tcBorders>
          </w:tcPr>
          <w:p>
            <w:pPr>
              <w:jc w:val="center"/>
            </w:pPr>
            <w:r>
              <w:t>Apache Cassandra 4.1, Docker Desktop, localhost:9042</w:t>
            </w:r>
          </w:p>
        </w:tc>
      </w:tr>
      <w:tr>
        <w:tc>
          <w:tcPr>
            <w:tcW w:type="dxa" w:w="2160"/>
            <w:tcBorders>
              <w:top w:val="single" w:sz="4" w:space="0" w:color="000000"/>
              <w:left w:val="single" w:sz="4" w:space="0" w:color="000000"/>
              <w:bottom w:val="single" w:sz="4" w:space="0" w:color="000000"/>
              <w:right w:val="single" w:sz="4" w:space="0" w:color="000000"/>
            </w:tcBorders>
          </w:tcPr>
          <w:p>
            <w:pPr>
              <w:jc w:val="center"/>
            </w:pPr>
            <w:r>
              <w:t>WAN simulation</w:t>
            </w:r>
          </w:p>
        </w:tc>
        <w:tc>
          <w:tcPr>
            <w:tcW w:type="dxa" w:w="2880"/>
            <w:tcBorders>
              <w:top w:val="single" w:sz="4" w:space="0" w:color="000000"/>
              <w:left w:val="single" w:sz="4" w:space="0" w:color="000000"/>
              <w:bottom w:val="single" w:sz="4" w:space="0" w:color="000000"/>
              <w:right w:val="single" w:sz="4" w:space="0" w:color="000000"/>
            </w:tcBorders>
          </w:tcPr>
          <w:p>
            <w:pPr>
              <w:jc w:val="center"/>
            </w:pPr>
            <w:r>
              <w:t>Toxiproxy 2.x, 120 ms latency + 10 ms jitter (deferred to future work)</w:t>
            </w:r>
          </w:p>
        </w:tc>
      </w:tr>
      <w:tr>
        <w:tc>
          <w:tcPr>
            <w:tcW w:type="dxa" w:w="2160"/>
            <w:tcBorders>
              <w:top w:val="single" w:sz="4" w:space="0" w:color="000000"/>
              <w:left w:val="single" w:sz="4" w:space="0" w:color="000000"/>
              <w:bottom w:val="single" w:sz="4" w:space="0" w:color="000000"/>
              <w:right w:val="single" w:sz="4" w:space="0" w:color="000000"/>
            </w:tcBorders>
          </w:tcPr>
          <w:p>
            <w:pPr>
              <w:jc w:val="center"/>
            </w:pPr>
            <w:r>
              <w:t>LLM model</w:t>
            </w:r>
          </w:p>
        </w:tc>
        <w:tc>
          <w:tcPr>
            <w:tcW w:type="dxa" w:w="2880"/>
            <w:tcBorders>
              <w:top w:val="single" w:sz="4" w:space="0" w:color="000000"/>
              <w:left w:val="single" w:sz="4" w:space="0" w:color="000000"/>
              <w:bottom w:val="single" w:sz="4" w:space="0" w:color="000000"/>
              <w:right w:val="single" w:sz="4" w:space="0" w:color="000000"/>
            </w:tcBorders>
          </w:tcPr>
          <w:p>
            <w:pPr>
              <w:jc w:val="center"/>
            </w:pPr>
            <w:r>
              <w:t>claude-haiku-4-5 ($1.00/1M input, $5.00/1M output tokens)</w:t>
            </w:r>
          </w:p>
        </w:tc>
      </w:tr>
      <w:tr>
        <w:tc>
          <w:tcPr>
            <w:tcW w:type="dxa" w:w="2160"/>
            <w:tcBorders>
              <w:top w:val="single" w:sz="4" w:space="0" w:color="000000"/>
              <w:left w:val="single" w:sz="4" w:space="0" w:color="000000"/>
              <w:bottom w:val="single" w:sz="4" w:space="0" w:color="000000"/>
              <w:right w:val="single" w:sz="4" w:space="0" w:color="000000"/>
            </w:tcBorders>
          </w:tcPr>
          <w:p>
            <w:pPr>
              <w:jc w:val="center"/>
            </w:pPr>
            <w:r>
              <w:t>Embedding model</w:t>
            </w:r>
          </w:p>
        </w:tc>
        <w:tc>
          <w:tcPr>
            <w:tcW w:type="dxa" w:w="2880"/>
            <w:tcBorders>
              <w:top w:val="single" w:sz="4" w:space="0" w:color="000000"/>
              <w:left w:val="single" w:sz="4" w:space="0" w:color="000000"/>
              <w:bottom w:val="single" w:sz="4" w:space="0" w:color="000000"/>
              <w:right w:val="single" w:sz="4" w:space="0" w:color="000000"/>
            </w:tcBorders>
          </w:tcPr>
          <w:p>
            <w:pPr>
              <w:jc w:val="center"/>
            </w:pPr>
            <w:r>
              <w:t>all-MiniLM-L6-v2 via sentence-transformers (R3 only)</w:t>
            </w:r>
          </w:p>
        </w:tc>
      </w:tr>
      <w:tr>
        <w:tc>
          <w:tcPr>
            <w:tcW w:type="dxa" w:w="2160"/>
            <w:tcBorders>
              <w:top w:val="single" w:sz="4" w:space="0" w:color="000000"/>
              <w:left w:val="single" w:sz="4" w:space="0" w:color="000000"/>
              <w:bottom w:val="single" w:sz="4" w:space="0" w:color="000000"/>
              <w:right w:val="single" w:sz="4" w:space="0" w:color="000000"/>
            </w:tcBorders>
          </w:tcPr>
          <w:p>
            <w:pPr>
              <w:jc w:val="center"/>
            </w:pPr>
            <w:r>
              <w:t>Host</w:t>
            </w:r>
          </w:p>
        </w:tc>
        <w:tc>
          <w:tcPr>
            <w:tcW w:type="dxa" w:w="2880"/>
            <w:tcBorders>
              <w:top w:val="single" w:sz="4" w:space="0" w:color="000000"/>
              <w:left w:val="single" w:sz="4" w:space="0" w:color="000000"/>
              <w:bottom w:val="single" w:sz="4" w:space="0" w:color="000000"/>
              <w:right w:val="single" w:sz="4" w:space="0" w:color="000000"/>
            </w:tcBorders>
          </w:tcPr>
          <w:p>
            <w:pPr>
              <w:jc w:val="center"/>
            </w:pPr>
            <w:r>
              <w:t>Windows 11, Python 3.12.10</w:t>
            </w:r>
          </w:p>
        </w:tc>
      </w:tr>
      <w:tr>
        <w:tc>
          <w:tcPr>
            <w:tcW w:type="dxa" w:w="2160"/>
            <w:tcBorders>
              <w:top w:val="single" w:sz="4" w:space="0" w:color="000000"/>
              <w:left w:val="single" w:sz="4" w:space="0" w:color="000000"/>
              <w:bottom w:val="single" w:sz="4" w:space="0" w:color="000000"/>
              <w:right w:val="single" w:sz="4" w:space="0" w:color="000000"/>
            </w:tcBorders>
          </w:tcPr>
          <w:p>
            <w:pPr>
              <w:jc w:val="center"/>
            </w:pPr>
            <w:r>
              <w:t>Session length</w:t>
            </w:r>
          </w:p>
        </w:tc>
        <w:tc>
          <w:tcPr>
            <w:tcW w:type="dxa" w:w="2880"/>
            <w:tcBorders>
              <w:top w:val="single" w:sz="4" w:space="0" w:color="000000"/>
              <w:left w:val="single" w:sz="4" w:space="0" w:color="000000"/>
              <w:bottom w:val="single" w:sz="4" w:space="0" w:color="000000"/>
              <w:right w:val="single" w:sz="4" w:space="0" w:color="000000"/>
            </w:tcBorders>
          </w:tcPr>
          <w:p>
            <w:pPr>
              <w:jc w:val="center"/>
            </w:pPr>
            <w:r>
              <w:t>5 turns/iteration (3 user + 2 assistant, 1 milestone injected)</w:t>
            </w:r>
          </w:p>
        </w:tc>
      </w:tr>
      <w:tr>
        <w:tc>
          <w:tcPr>
            <w:tcW w:type="dxa" w:w="2160"/>
            <w:tcBorders>
              <w:top w:val="single" w:sz="4" w:space="0" w:color="000000"/>
              <w:left w:val="single" w:sz="4" w:space="0" w:color="000000"/>
              <w:bottom w:val="single" w:sz="4" w:space="0" w:color="000000"/>
              <w:right w:val="single" w:sz="4" w:space="0" w:color="000000"/>
            </w:tcBorders>
          </w:tcPr>
          <w:p>
            <w:pPr>
              <w:jc w:val="center"/>
            </w:pPr>
            <w:r>
              <w:t>Iterations</w:t>
            </w:r>
          </w:p>
        </w:tc>
        <w:tc>
          <w:tcPr>
            <w:tcW w:type="dxa" w:w="2880"/>
            <w:tcBorders>
              <w:top w:val="single" w:sz="4" w:space="0" w:color="000000"/>
              <w:left w:val="single" w:sz="4" w:space="0" w:color="000000"/>
              <w:bottom w:val="single" w:sz="4" w:space="0" w:color="000000"/>
              <w:right w:val="single" w:sz="4" w:space="0" w:color="000000"/>
            </w:tcBorders>
          </w:tcPr>
          <w:p>
            <w:pPr>
              <w:jc w:val="center"/>
            </w:pPr>
            <w:r>
              <w:t>n=100/condition (RUN-006); n=30/pair (RUN-007 R3 column)</w:t>
            </w:r>
          </w:p>
        </w:tc>
      </w:tr>
    </w:tbl>
    <w:p/>
    <w:p>
      <w:pPr>
        <w:pStyle w:val="Heading2"/>
      </w:pPr>
      <w:r>
        <w:t>C. Metrics</w:t>
      </w:r>
    </w:p>
    <w:p>
      <w:pPr>
        <w:pStyle w:val="TableTitle"/>
        <w:jc w:val="center"/>
      </w:pPr>
      <w:r>
        <w:rPr>
          <w:b/>
        </w:rPr>
        <w:t>TABLE II</w:t>
      </w:r>
    </w:p>
    <w:p>
      <w:pPr>
        <w:pStyle w:val="TableTitle"/>
        <w:jc w:val="center"/>
      </w:pPr>
      <w:r>
        <w:t>Metric Definitions</w:t>
      </w:r>
    </w:p>
    <w:tbl>
      <w:tblPr>
        <w:tblW w:type="auto" w:w="0"/>
        <w:jc w:val="center"/>
        <w:tblLook w:firstColumn="1" w:firstRow="1" w:lastColumn="0" w:lastRow="0" w:noHBand="0" w:noVBand="1" w:val="04A0"/>
      </w:tblPr>
      <w:tblGrid>
        <w:gridCol w:w="3456"/>
        <w:gridCol w:w="3456"/>
        <w:gridCol w:w="3456"/>
      </w:tblGrid>
      <w:tr>
        <w:tc>
          <w:tcPr>
            <w:tcW w:type="dxa" w:w="2016"/>
            <w:tcBorders>
              <w:top w:val="single" w:sz="4" w:space="0" w:color="000000"/>
              <w:left w:val="single" w:sz="4" w:space="0" w:color="000000"/>
              <w:bottom w:val="single" w:sz="4" w:space="0" w:color="000000"/>
              <w:right w:val="single" w:sz="4" w:space="0" w:color="000000"/>
            </w:tcBorders>
          </w:tcPr>
          <w:p>
            <w:pPr>
              <w:jc w:val="center"/>
            </w:pPr>
            <w:r>
              <w:rPr>
                <w:b/>
              </w:rPr>
              <w:t>Metric</w:t>
            </w:r>
          </w:p>
        </w:tc>
        <w:tc>
          <w:tcPr>
            <w:tcW w:type="dxa" w:w="2160"/>
            <w:tcBorders>
              <w:top w:val="single" w:sz="4" w:space="0" w:color="000000"/>
              <w:left w:val="single" w:sz="4" w:space="0" w:color="000000"/>
              <w:bottom w:val="single" w:sz="4" w:space="0" w:color="000000"/>
              <w:right w:val="single" w:sz="4" w:space="0" w:color="000000"/>
            </w:tcBorders>
          </w:tcPr>
          <w:p>
            <w:pPr>
              <w:jc w:val="center"/>
            </w:pPr>
            <w:r>
              <w:rPr>
                <w:b/>
              </w:rPr>
              <w:t>Description</w:t>
            </w:r>
          </w:p>
        </w:tc>
        <w:tc>
          <w:tcPr>
            <w:tcW w:type="dxa" w:w="864"/>
            <w:tcBorders>
              <w:top w:val="single" w:sz="4" w:space="0" w:color="000000"/>
              <w:left w:val="single" w:sz="4" w:space="0" w:color="000000"/>
              <w:bottom w:val="single" w:sz="4" w:space="0" w:color="000000"/>
              <w:right w:val="single" w:sz="4" w:space="0" w:color="000000"/>
            </w:tcBorders>
          </w:tcPr>
          <w:p>
            <w:pPr>
              <w:jc w:val="center"/>
            </w:pPr>
            <w:r>
              <w:rPr>
                <w:b/>
              </w:rPr>
              <w:t>Unit</w:t>
            </w:r>
          </w:p>
        </w:tc>
      </w:tr>
      <w:tr>
        <w:tc>
          <w:tcPr>
            <w:tcW w:type="dxa" w:w="2016"/>
            <w:tcBorders>
              <w:top w:val="single" w:sz="4" w:space="0" w:color="000000"/>
              <w:left w:val="single" w:sz="4" w:space="0" w:color="000000"/>
              <w:bottom w:val="single" w:sz="4" w:space="0" w:color="000000"/>
              <w:right w:val="single" w:sz="4" w:space="0" w:color="000000"/>
            </w:tcBorders>
          </w:tcPr>
          <w:p>
            <w:pPr>
              <w:jc w:val="center"/>
            </w:pPr>
            <w:r>
              <w:t>write_latency_ms</w:t>
            </w:r>
          </w:p>
        </w:tc>
        <w:tc>
          <w:tcPr>
            <w:tcW w:type="dxa" w:w="2160"/>
            <w:tcBorders>
              <w:top w:val="single" w:sz="4" w:space="0" w:color="000000"/>
              <w:left w:val="single" w:sz="4" w:space="0" w:color="000000"/>
              <w:bottom w:val="single" w:sz="4" w:space="0" w:color="000000"/>
              <w:right w:val="single" w:sz="4" w:space="0" w:color="000000"/>
            </w:tcBorders>
          </w:tcPr>
          <w:p>
            <w:pPr>
              <w:jc w:val="center"/>
            </w:pPr>
            <w:r>
              <w:t>Wall-clock time for write engine call</w:t>
            </w:r>
          </w:p>
        </w:tc>
        <w:tc>
          <w:tcPr>
            <w:tcW w:type="dxa" w:w="864"/>
            <w:tcBorders>
              <w:top w:val="single" w:sz="4" w:space="0" w:color="000000"/>
              <w:left w:val="single" w:sz="4" w:space="0" w:color="000000"/>
              <w:bottom w:val="single" w:sz="4" w:space="0" w:color="000000"/>
              <w:right w:val="single" w:sz="4" w:space="0" w:color="000000"/>
            </w:tcBorders>
          </w:tcPr>
          <w:p>
            <w:pPr>
              <w:jc w:val="center"/>
            </w:pPr>
            <w:r>
              <w:t>ms</w:t>
            </w:r>
          </w:p>
        </w:tc>
      </w:tr>
      <w:tr>
        <w:tc>
          <w:tcPr>
            <w:tcW w:type="dxa" w:w="2016"/>
            <w:tcBorders>
              <w:top w:val="single" w:sz="4" w:space="0" w:color="000000"/>
              <w:left w:val="single" w:sz="4" w:space="0" w:color="000000"/>
              <w:bottom w:val="single" w:sz="4" w:space="0" w:color="000000"/>
              <w:right w:val="single" w:sz="4" w:space="0" w:color="000000"/>
            </w:tcBorders>
          </w:tcPr>
          <w:p>
            <w:pPr>
              <w:jc w:val="center"/>
            </w:pPr>
            <w:r>
              <w:t>flush_latency_ms</w:t>
            </w:r>
          </w:p>
        </w:tc>
        <w:tc>
          <w:tcPr>
            <w:tcW w:type="dxa" w:w="2160"/>
            <w:tcBorders>
              <w:top w:val="single" w:sz="4" w:space="0" w:color="000000"/>
              <w:left w:val="single" w:sz="4" w:space="0" w:color="000000"/>
              <w:bottom w:val="single" w:sz="4" w:space="0" w:color="000000"/>
              <w:right w:val="single" w:sz="4" w:space="0" w:color="000000"/>
            </w:tcBorders>
          </w:tcPr>
          <w:p>
            <w:pPr>
              <w:jc w:val="center"/>
            </w:pPr>
            <w:r>
              <w:t>Wall-clock time for Cassandra flush</w:t>
            </w:r>
          </w:p>
        </w:tc>
        <w:tc>
          <w:tcPr>
            <w:tcW w:type="dxa" w:w="864"/>
            <w:tcBorders>
              <w:top w:val="single" w:sz="4" w:space="0" w:color="000000"/>
              <w:left w:val="single" w:sz="4" w:space="0" w:color="000000"/>
              <w:bottom w:val="single" w:sz="4" w:space="0" w:color="000000"/>
              <w:right w:val="single" w:sz="4" w:space="0" w:color="000000"/>
            </w:tcBorders>
          </w:tcPr>
          <w:p>
            <w:pPr>
              <w:jc w:val="center"/>
            </w:pPr>
            <w:r>
              <w:t>ms</w:t>
            </w:r>
          </w:p>
        </w:tc>
      </w:tr>
      <w:tr>
        <w:tc>
          <w:tcPr>
            <w:tcW w:type="dxa" w:w="2016"/>
            <w:tcBorders>
              <w:top w:val="single" w:sz="4" w:space="0" w:color="000000"/>
              <w:left w:val="single" w:sz="4" w:space="0" w:color="000000"/>
              <w:bottom w:val="single" w:sz="4" w:space="0" w:color="000000"/>
              <w:right w:val="single" w:sz="4" w:space="0" w:color="000000"/>
            </w:tcBorders>
          </w:tcPr>
          <w:p>
            <w:pPr>
              <w:jc w:val="center"/>
            </w:pPr>
            <w:r>
              <w:t>handoff_latency_ms</w:t>
            </w:r>
          </w:p>
        </w:tc>
        <w:tc>
          <w:tcPr>
            <w:tcW w:type="dxa" w:w="2160"/>
            <w:tcBorders>
              <w:top w:val="single" w:sz="4" w:space="0" w:color="000000"/>
              <w:left w:val="single" w:sz="4" w:space="0" w:color="000000"/>
              <w:bottom w:val="single" w:sz="4" w:space="0" w:color="000000"/>
              <w:right w:val="single" w:sz="4" w:space="0" w:color="000000"/>
            </w:tcBorders>
          </w:tcPr>
          <w:p>
            <w:pPr>
              <w:jc w:val="center"/>
            </w:pPr>
            <w:r>
              <w:t>Full handoff: read engine + agent first turn</w:t>
            </w:r>
          </w:p>
        </w:tc>
        <w:tc>
          <w:tcPr>
            <w:tcW w:type="dxa" w:w="864"/>
            <w:tcBorders>
              <w:top w:val="single" w:sz="4" w:space="0" w:color="000000"/>
              <w:left w:val="single" w:sz="4" w:space="0" w:color="000000"/>
              <w:bottom w:val="single" w:sz="4" w:space="0" w:color="000000"/>
              <w:right w:val="single" w:sz="4" w:space="0" w:color="000000"/>
            </w:tcBorders>
          </w:tcPr>
          <w:p>
            <w:pPr>
              <w:jc w:val="center"/>
            </w:pPr>
            <w:r>
              <w:t>ms</w:t>
            </w:r>
          </w:p>
        </w:tc>
      </w:tr>
      <w:tr>
        <w:tc>
          <w:tcPr>
            <w:tcW w:type="dxa" w:w="2016"/>
            <w:tcBorders>
              <w:top w:val="single" w:sz="4" w:space="0" w:color="000000"/>
              <w:left w:val="single" w:sz="4" w:space="0" w:color="000000"/>
              <w:bottom w:val="single" w:sz="4" w:space="0" w:color="000000"/>
              <w:right w:val="single" w:sz="4" w:space="0" w:color="000000"/>
            </w:tcBorders>
          </w:tcPr>
          <w:p>
            <w:pPr>
              <w:jc w:val="center"/>
            </w:pPr>
            <w:r>
              <w:t>context_token_count</w:t>
            </w:r>
          </w:p>
        </w:tc>
        <w:tc>
          <w:tcPr>
            <w:tcW w:type="dxa" w:w="2160"/>
            <w:tcBorders>
              <w:top w:val="single" w:sz="4" w:space="0" w:color="000000"/>
              <w:left w:val="single" w:sz="4" w:space="0" w:color="000000"/>
              <w:bottom w:val="single" w:sz="4" w:space="0" w:color="000000"/>
              <w:right w:val="single" w:sz="4" w:space="0" w:color="000000"/>
            </w:tcBorders>
          </w:tcPr>
          <w:p>
            <w:pPr>
              <w:jc w:val="center"/>
            </w:pPr>
            <w:r>
              <w:t>Input tokens in receiving agent's first call</w:t>
            </w:r>
          </w:p>
        </w:tc>
        <w:tc>
          <w:tcPr>
            <w:tcW w:type="dxa" w:w="864"/>
            <w:tcBorders>
              <w:top w:val="single" w:sz="4" w:space="0" w:color="000000"/>
              <w:left w:val="single" w:sz="4" w:space="0" w:color="000000"/>
              <w:bottom w:val="single" w:sz="4" w:space="0" w:color="000000"/>
              <w:right w:val="single" w:sz="4" w:space="0" w:color="000000"/>
            </w:tcBorders>
          </w:tcPr>
          <w:p>
            <w:pPr>
              <w:jc w:val="center"/>
            </w:pPr>
            <w:r>
              <w:t>tokens</w:t>
            </w:r>
          </w:p>
        </w:tc>
      </w:tr>
      <w:tr>
        <w:tc>
          <w:tcPr>
            <w:tcW w:type="dxa" w:w="2016"/>
            <w:tcBorders>
              <w:top w:val="single" w:sz="4" w:space="0" w:color="000000"/>
              <w:left w:val="single" w:sz="4" w:space="0" w:color="000000"/>
              <w:bottom w:val="single" w:sz="4" w:space="0" w:color="000000"/>
              <w:right w:val="single" w:sz="4" w:space="0" w:color="000000"/>
            </w:tcBorders>
          </w:tcPr>
          <w:p>
            <w:pPr>
              <w:jc w:val="center"/>
            </w:pPr>
            <w:r>
              <w:t>compression_ratio</w:t>
            </w:r>
          </w:p>
        </w:tc>
        <w:tc>
          <w:tcPr>
            <w:tcW w:type="dxa" w:w="2160"/>
            <w:tcBorders>
              <w:top w:val="single" w:sz="4" w:space="0" w:color="000000"/>
              <w:left w:val="single" w:sz="4" w:space="0" w:color="000000"/>
              <w:bottom w:val="single" w:sz="4" w:space="0" w:color="000000"/>
              <w:right w:val="single" w:sz="4" w:space="0" w:color="000000"/>
            </w:tcBorders>
          </w:tcPr>
          <w:p>
            <w:pPr>
              <w:jc w:val="center"/>
            </w:pPr>
            <w:r>
              <w:t>T_R0 / T_Rx (Eq. 5)</w:t>
            </w:r>
          </w:p>
        </w:tc>
        <w:tc>
          <w:tcPr>
            <w:tcW w:type="dxa" w:w="864"/>
            <w:tcBorders>
              <w:top w:val="single" w:sz="4" w:space="0" w:color="000000"/>
              <w:left w:val="single" w:sz="4" w:space="0" w:color="000000"/>
              <w:bottom w:val="single" w:sz="4" w:space="0" w:color="000000"/>
              <w:right w:val="single" w:sz="4" w:space="0" w:color="000000"/>
            </w:tcBorders>
          </w:tcPr>
          <w:p>
            <w:pPr>
              <w:jc w:val="center"/>
            </w:pPr>
            <w:r>
              <w:t>dimensionless</w:t>
            </w:r>
          </w:p>
        </w:tc>
      </w:tr>
      <w:tr>
        <w:tc>
          <w:tcPr>
            <w:tcW w:type="dxa" w:w="2016"/>
            <w:tcBorders>
              <w:top w:val="single" w:sz="4" w:space="0" w:color="000000"/>
              <w:left w:val="single" w:sz="4" w:space="0" w:color="000000"/>
              <w:bottom w:val="single" w:sz="4" w:space="0" w:color="000000"/>
              <w:right w:val="single" w:sz="4" w:space="0" w:color="000000"/>
            </w:tcBorders>
          </w:tcPr>
          <w:p>
            <w:pPr>
              <w:jc w:val="center"/>
            </w:pPr>
            <w:r>
              <w:t>state_integrity_score</w:t>
            </w:r>
          </w:p>
        </w:tc>
        <w:tc>
          <w:tcPr>
            <w:tcW w:type="dxa" w:w="2160"/>
            <w:tcBorders>
              <w:top w:val="single" w:sz="4" w:space="0" w:color="000000"/>
              <w:left w:val="single" w:sz="4" w:space="0" w:color="000000"/>
              <w:bottom w:val="single" w:sz="4" w:space="0" w:color="000000"/>
              <w:right w:val="single" w:sz="4" w:space="0" w:color="000000"/>
            </w:tcBorders>
          </w:tcPr>
          <w:p>
            <w:pPr>
              <w:jc w:val="center"/>
            </w:pPr>
            <w:r>
              <w:t>LLM judge continuity score (Eq. 4)</w:t>
            </w:r>
          </w:p>
        </w:tc>
        <w:tc>
          <w:tcPr>
            <w:tcW w:type="dxa" w:w="864"/>
            <w:tcBorders>
              <w:top w:val="single" w:sz="4" w:space="0" w:color="000000"/>
              <w:left w:val="single" w:sz="4" w:space="0" w:color="000000"/>
              <w:bottom w:val="single" w:sz="4" w:space="0" w:color="000000"/>
              <w:right w:val="single" w:sz="4" w:space="0" w:color="000000"/>
            </w:tcBorders>
          </w:tcPr>
          <w:p>
            <w:pPr>
              <w:jc w:val="center"/>
            </w:pPr>
            <w:r>
              <w:t>[0, 1]</w:t>
            </w:r>
          </w:p>
        </w:tc>
      </w:tr>
      <w:tr>
        <w:tc>
          <w:tcPr>
            <w:tcW w:type="dxa" w:w="2016"/>
            <w:tcBorders>
              <w:top w:val="single" w:sz="4" w:space="0" w:color="000000"/>
              <w:left w:val="single" w:sz="4" w:space="0" w:color="000000"/>
              <w:bottom w:val="single" w:sz="4" w:space="0" w:color="000000"/>
              <w:right w:val="single" w:sz="4" w:space="0" w:color="000000"/>
            </w:tcBorders>
          </w:tcPr>
          <w:p>
            <w:pPr>
              <w:jc w:val="center"/>
            </w:pPr>
            <w:r>
              <w:t>retrieval_accuracy_score</w:t>
            </w:r>
          </w:p>
        </w:tc>
        <w:tc>
          <w:tcPr>
            <w:tcW w:type="dxa" w:w="2160"/>
            <w:tcBorders>
              <w:top w:val="single" w:sz="4" w:space="0" w:color="000000"/>
              <w:left w:val="single" w:sz="4" w:space="0" w:color="000000"/>
              <w:bottom w:val="single" w:sz="4" w:space="0" w:color="000000"/>
              <w:right w:val="single" w:sz="4" w:space="0" w:color="000000"/>
            </w:tcBorders>
          </w:tcPr>
          <w:p>
            <w:pPr>
              <w:jc w:val="center"/>
            </w:pPr>
            <w:r>
              <w:t>LLM judge fidelity score (Eq. 4)</w:t>
            </w:r>
          </w:p>
        </w:tc>
        <w:tc>
          <w:tcPr>
            <w:tcW w:type="dxa" w:w="864"/>
            <w:tcBorders>
              <w:top w:val="single" w:sz="4" w:space="0" w:color="000000"/>
              <w:left w:val="single" w:sz="4" w:space="0" w:color="000000"/>
              <w:bottom w:val="single" w:sz="4" w:space="0" w:color="000000"/>
              <w:right w:val="single" w:sz="4" w:space="0" w:color="000000"/>
            </w:tcBorders>
          </w:tcPr>
          <w:p>
            <w:pPr>
              <w:jc w:val="center"/>
            </w:pPr>
            <w:r>
              <w:t>[0, 1]</w:t>
            </w:r>
          </w:p>
        </w:tc>
      </w:tr>
      <w:tr>
        <w:tc>
          <w:tcPr>
            <w:tcW w:type="dxa" w:w="2016"/>
            <w:tcBorders>
              <w:top w:val="single" w:sz="4" w:space="0" w:color="000000"/>
              <w:left w:val="single" w:sz="4" w:space="0" w:color="000000"/>
              <w:bottom w:val="single" w:sz="4" w:space="0" w:color="000000"/>
              <w:right w:val="single" w:sz="4" w:space="0" w:color="000000"/>
            </w:tcBorders>
          </w:tcPr>
          <w:p>
            <w:pPr>
              <w:jc w:val="center"/>
            </w:pPr>
            <w:r>
              <w:t>estimated_cost_usd</w:t>
            </w:r>
          </w:p>
        </w:tc>
        <w:tc>
          <w:tcPr>
            <w:tcW w:type="dxa" w:w="2160"/>
            <w:tcBorders>
              <w:top w:val="single" w:sz="4" w:space="0" w:color="000000"/>
              <w:left w:val="single" w:sz="4" w:space="0" w:color="000000"/>
              <w:bottom w:val="single" w:sz="4" w:space="0" w:color="000000"/>
              <w:right w:val="single" w:sz="4" w:space="0" w:color="000000"/>
            </w:tcBorders>
          </w:tcPr>
          <w:p>
            <w:pPr>
              <w:jc w:val="center"/>
            </w:pPr>
            <w:r>
              <w:t>Token-based cost model (Eq. 6)</w:t>
            </w:r>
          </w:p>
        </w:tc>
        <w:tc>
          <w:tcPr>
            <w:tcW w:type="dxa" w:w="864"/>
            <w:tcBorders>
              <w:top w:val="single" w:sz="4" w:space="0" w:color="000000"/>
              <w:left w:val="single" w:sz="4" w:space="0" w:color="000000"/>
              <w:bottom w:val="single" w:sz="4" w:space="0" w:color="000000"/>
              <w:right w:val="single" w:sz="4" w:space="0" w:color="000000"/>
            </w:tcBorders>
          </w:tcPr>
          <w:p>
            <w:pPr>
              <w:jc w:val="center"/>
            </w:pPr>
            <w:r>
              <w:t>USD</w:t>
            </w:r>
          </w:p>
        </w:tc>
      </w:tr>
    </w:tbl>
    <w:p/>
    <w:p>
      <w:pPr>
        <w:pStyle w:val="Heading2"/>
      </w:pPr>
      <w:r>
        <w:t>D. LLM-as-a-Judge Protocol</w:t>
      </w:r>
    </w:p>
    <w:p>
      <w:pPr>
        <w:pStyle w:val="PARAIndent"/>
      </w:pPr>
      <w:r>
        <w:t>Keyword overlap heuristics (ROUGE, token matching) are insufficient for measuring agent continuity: an agent can reproduce all milestone tokens while misremembering the task direction. We adopt a dual-prompt LLM-as-a-Judge protocol [12, 13]. Fidelity evaluation (σ_retrieval): the judge receives the ground-truth traces and the hydrated payload, scoring milestone recall. Continuity evaluation (σ_integrity): the judge receives only the receiving agent’s first response, scoring genuine task-state awareness on a five-point Likert scale normalized via Eq. 4. The two scores are intentionally independent.</w:t>
      </w:r>
    </w:p>
    <w:p>
      <w:pPr>
        <w:pStyle w:val="Heading2"/>
      </w:pPr>
      <w:r>
        <w:t>E. Statistical Testing</w:t>
      </w:r>
    </w:p>
    <w:p>
      <w:pPr>
        <w:pStyle w:val="PARAIndent"/>
      </w:pPr>
      <w:r>
        <w:t>Wilcoxon signed-rank tests (paired, two-tailed) compare each algorithm against the W0+R0 baseline with Holm-Bonferroni correction. All significance claims derive from n=100 (RUN-006). The n=30 RUN-007 results are used for directional comparison only.</w:t>
      </w:r>
    </w:p>
    <w:p>
      <w:pPr>
        <w:pStyle w:val="Heading1"/>
      </w:pPr>
      <w:r>
        <w:t>VI. RESULTS</w:t>
      </w:r>
    </w:p>
    <w:p>
      <w:pPr>
        <w:pStyle w:val="Heading2"/>
      </w:pPr>
      <w:r>
        <w:t>A. Experiment A: Write Engine Ablation</w:t>
      </w:r>
    </w:p>
    <w:p>
      <w:pPr>
        <w:pStyle w:val="TableTitle"/>
        <w:jc w:val="center"/>
      </w:pPr>
      <w:r>
        <w:rPr>
          <w:b/>
        </w:rPr>
        <w:t>TABLE III</w:t>
      </w:r>
    </w:p>
    <w:p>
      <w:pPr>
        <w:pStyle w:val="TableTitle"/>
        <w:jc w:val="center"/>
      </w:pPr>
      <w:r>
        <w:t>Experiment A: Write Engine Performance (n=100, R0 fixed)</w:t>
      </w:r>
    </w:p>
    <w:tbl>
      <w:tblPr>
        <w:tblW w:type="auto" w:w="0"/>
        <w:jc w:val="center"/>
        <w:tblLook w:firstColumn="1" w:firstRow="1" w:lastColumn="0" w:lastRow="0" w:noHBand="0" w:noVBand="1" w:val="04A0"/>
      </w:tblPr>
      <w:tblGrid>
        <w:gridCol w:w="2074"/>
        <w:gridCol w:w="2074"/>
        <w:gridCol w:w="2074"/>
        <w:gridCol w:w="2074"/>
        <w:gridCol w:w="2074"/>
      </w:tblGrid>
      <w:tr>
        <w:tc>
          <w:tcPr>
            <w:tcW w:type="dxa" w:w="1584"/>
            <w:tcBorders>
              <w:top w:val="single" w:sz="4" w:space="0" w:color="000000"/>
              <w:left w:val="single" w:sz="4" w:space="0" w:color="000000"/>
              <w:bottom w:val="single" w:sz="4" w:space="0" w:color="000000"/>
              <w:right w:val="single" w:sz="4" w:space="0" w:color="000000"/>
            </w:tcBorders>
          </w:tcPr>
          <w:p>
            <w:pPr>
              <w:jc w:val="center"/>
            </w:pPr>
            <w:r>
              <w:rPr>
                <w:b/>
              </w:rPr>
              <w:t>Write Algo</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b/>
              </w:rPr>
              <w:t>Handoff p50 (ms)</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b/>
              </w:rPr>
              <w:t>Write lat. (ms)</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b/>
              </w:rPr>
              <w:t>Flush lat. (ms)</w:t>
            </w:r>
          </w:p>
        </w:tc>
        <w:tc>
          <w:tcPr>
            <w:tcW w:type="dxa" w:w="1296"/>
            <w:tcBorders>
              <w:top w:val="single" w:sz="4" w:space="0" w:color="000000"/>
              <w:left w:val="single" w:sz="4" w:space="0" w:color="000000"/>
              <w:bottom w:val="single" w:sz="4" w:space="0" w:color="000000"/>
              <w:right w:val="single" w:sz="4" w:space="0" w:color="000000"/>
            </w:tcBorders>
          </w:tcPr>
          <w:p>
            <w:pPr>
              <w:jc w:val="center"/>
            </w:pPr>
            <w:r>
              <w:rPr>
                <w:b/>
              </w:rPr>
              <w:t>Cost/iter ($)</w:t>
            </w:r>
          </w:p>
        </w:tc>
      </w:tr>
      <w:tr>
        <w:tc>
          <w:tcPr>
            <w:tcW w:type="dxa" w:w="1584"/>
            <w:tcBorders>
              <w:top w:val="single" w:sz="4" w:space="0" w:color="000000"/>
              <w:left w:val="single" w:sz="4" w:space="0" w:color="000000"/>
              <w:bottom w:val="single" w:sz="4" w:space="0" w:color="000000"/>
              <w:right w:val="single" w:sz="4" w:space="0" w:color="000000"/>
            </w:tcBorders>
          </w:tcPr>
          <w:p>
            <w:pPr>
              <w:jc w:val="center"/>
            </w:pPr>
            <w:r>
              <w:t>W0 Naive Sync</w:t>
            </w:r>
          </w:p>
        </w:tc>
        <w:tc>
          <w:tcPr>
            <w:tcW w:type="dxa" w:w="1440"/>
            <w:tcBorders>
              <w:top w:val="single" w:sz="4" w:space="0" w:color="000000"/>
              <w:left w:val="single" w:sz="4" w:space="0" w:color="000000"/>
              <w:bottom w:val="single" w:sz="4" w:space="0" w:color="000000"/>
              <w:right w:val="single" w:sz="4" w:space="0" w:color="000000"/>
            </w:tcBorders>
          </w:tcPr>
          <w:p>
            <w:pPr>
              <w:jc w:val="center"/>
            </w:pPr>
            <w:r>
              <w:t>3621.9</w:t>
            </w:r>
          </w:p>
        </w:tc>
        <w:tc>
          <w:tcPr>
            <w:tcW w:type="dxa" w:w="1440"/>
            <w:tcBorders>
              <w:top w:val="single" w:sz="4" w:space="0" w:color="000000"/>
              <w:left w:val="single" w:sz="4" w:space="0" w:color="000000"/>
              <w:bottom w:val="single" w:sz="4" w:space="0" w:color="000000"/>
              <w:right w:val="single" w:sz="4" w:space="0" w:color="000000"/>
            </w:tcBorders>
          </w:tcPr>
          <w:p>
            <w:pPr>
              <w:jc w:val="center"/>
            </w:pPr>
            <w:r>
              <w:t>0.004</w:t>
            </w:r>
          </w:p>
        </w:tc>
        <w:tc>
          <w:tcPr>
            <w:tcW w:type="dxa" w:w="1440"/>
            <w:tcBorders>
              <w:top w:val="single" w:sz="4" w:space="0" w:color="000000"/>
              <w:left w:val="single" w:sz="4" w:space="0" w:color="000000"/>
              <w:bottom w:val="single" w:sz="4" w:space="0" w:color="000000"/>
              <w:right w:val="single" w:sz="4" w:space="0" w:color="000000"/>
            </w:tcBorders>
          </w:tcPr>
          <w:p>
            <w:pPr>
              <w:jc w:val="center"/>
            </w:pPr>
            <w:r>
              <w:t>0.004</w:t>
            </w:r>
          </w:p>
        </w:tc>
        <w:tc>
          <w:tcPr>
            <w:tcW w:type="dxa" w:w="1296"/>
            <w:tcBorders>
              <w:top w:val="single" w:sz="4" w:space="0" w:color="000000"/>
              <w:left w:val="single" w:sz="4" w:space="0" w:color="000000"/>
              <w:bottom w:val="single" w:sz="4" w:space="0" w:color="000000"/>
              <w:right w:val="single" w:sz="4" w:space="0" w:color="000000"/>
            </w:tcBorders>
          </w:tcPr>
          <w:p>
            <w:pPr>
              <w:jc w:val="center"/>
            </w:pPr>
            <w:r>
              <w:t>0.00245</w:t>
            </w:r>
          </w:p>
        </w:tc>
      </w:tr>
      <w:tr>
        <w:tc>
          <w:tcPr>
            <w:tcW w:type="dxa" w:w="1584"/>
            <w:tcBorders>
              <w:top w:val="single" w:sz="4" w:space="0" w:color="000000"/>
              <w:left w:val="single" w:sz="4" w:space="0" w:color="000000"/>
              <w:bottom w:val="single" w:sz="4" w:space="0" w:color="000000"/>
              <w:right w:val="single" w:sz="4" w:space="0" w:color="000000"/>
            </w:tcBorders>
          </w:tcPr>
          <w:p>
            <w:pPr>
              <w:jc w:val="center"/>
            </w:pPr>
            <w:r>
              <w:t>W1 Selective Flush</w:t>
            </w:r>
          </w:p>
        </w:tc>
        <w:tc>
          <w:tcPr>
            <w:tcW w:type="dxa" w:w="1440"/>
            <w:tcBorders>
              <w:top w:val="single" w:sz="4" w:space="0" w:color="000000"/>
              <w:left w:val="single" w:sz="4" w:space="0" w:color="000000"/>
              <w:bottom w:val="single" w:sz="4" w:space="0" w:color="000000"/>
              <w:right w:val="single" w:sz="4" w:space="0" w:color="000000"/>
            </w:tcBorders>
          </w:tcPr>
          <w:p>
            <w:pPr>
              <w:jc w:val="center"/>
            </w:pPr>
            <w:r>
              <w:t>3792.9</w:t>
            </w:r>
          </w:p>
        </w:tc>
        <w:tc>
          <w:tcPr>
            <w:tcW w:type="dxa" w:w="1440"/>
            <w:tcBorders>
              <w:top w:val="single" w:sz="4" w:space="0" w:color="000000"/>
              <w:left w:val="single" w:sz="4" w:space="0" w:color="000000"/>
              <w:bottom w:val="single" w:sz="4" w:space="0" w:color="000000"/>
              <w:right w:val="single" w:sz="4" w:space="0" w:color="000000"/>
            </w:tcBorders>
          </w:tcPr>
          <w:p>
            <w:pPr>
              <w:jc w:val="center"/>
            </w:pPr>
            <w:r>
              <w:t>1.083</w:t>
            </w:r>
          </w:p>
        </w:tc>
        <w:tc>
          <w:tcPr>
            <w:tcW w:type="dxa" w:w="1440"/>
            <w:tcBorders>
              <w:top w:val="single" w:sz="4" w:space="0" w:color="000000"/>
              <w:left w:val="single" w:sz="4" w:space="0" w:color="000000"/>
              <w:bottom w:val="single" w:sz="4" w:space="0" w:color="000000"/>
              <w:right w:val="single" w:sz="4" w:space="0" w:color="000000"/>
            </w:tcBorders>
          </w:tcPr>
          <w:p>
            <w:pPr>
              <w:jc w:val="center"/>
            </w:pPr>
            <w:r>
              <w:t>0.010</w:t>
            </w:r>
          </w:p>
        </w:tc>
        <w:tc>
          <w:tcPr>
            <w:tcW w:type="dxa" w:w="1296"/>
            <w:tcBorders>
              <w:top w:val="single" w:sz="4" w:space="0" w:color="000000"/>
              <w:left w:val="single" w:sz="4" w:space="0" w:color="000000"/>
              <w:bottom w:val="single" w:sz="4" w:space="0" w:color="000000"/>
              <w:right w:val="single" w:sz="4" w:space="0" w:color="000000"/>
            </w:tcBorders>
          </w:tcPr>
          <w:p>
            <w:pPr>
              <w:jc w:val="center"/>
            </w:pPr>
            <w:r>
              <w:t>0.00249</w:t>
            </w:r>
          </w:p>
        </w:tc>
      </w:tr>
      <w:tr>
        <w:tc>
          <w:tcPr>
            <w:tcW w:type="dxa" w:w="1584"/>
            <w:tcBorders>
              <w:top w:val="single" w:sz="4" w:space="0" w:color="000000"/>
              <w:left w:val="single" w:sz="4" w:space="0" w:color="000000"/>
              <w:bottom w:val="single" w:sz="4" w:space="0" w:color="000000"/>
              <w:right w:val="single" w:sz="4" w:space="0" w:color="000000"/>
            </w:tcBorders>
          </w:tcPr>
          <w:p>
            <w:pPr>
              <w:jc w:val="center"/>
            </w:pPr>
            <w:r>
              <w:t>W2 WAL+Async</w:t>
            </w:r>
          </w:p>
        </w:tc>
        <w:tc>
          <w:tcPr>
            <w:tcW w:type="dxa" w:w="1440"/>
            <w:tcBorders>
              <w:top w:val="single" w:sz="4" w:space="0" w:color="000000"/>
              <w:left w:val="single" w:sz="4" w:space="0" w:color="000000"/>
              <w:bottom w:val="single" w:sz="4" w:space="0" w:color="000000"/>
              <w:right w:val="single" w:sz="4" w:space="0" w:color="000000"/>
            </w:tcBorders>
          </w:tcPr>
          <w:p>
            <w:pPr>
              <w:jc w:val="center"/>
            </w:pPr>
            <w:r>
              <w:t>3704.7</w:t>
            </w:r>
          </w:p>
        </w:tc>
        <w:tc>
          <w:tcPr>
            <w:tcW w:type="dxa" w:w="1440"/>
            <w:tcBorders>
              <w:top w:val="single" w:sz="4" w:space="0" w:color="000000"/>
              <w:left w:val="single" w:sz="4" w:space="0" w:color="000000"/>
              <w:bottom w:val="single" w:sz="4" w:space="0" w:color="000000"/>
              <w:right w:val="single" w:sz="4" w:space="0" w:color="000000"/>
            </w:tcBorders>
          </w:tcPr>
          <w:p>
            <w:pPr>
              <w:jc w:val="center"/>
            </w:pPr>
            <w:r>
              <w:t>1.736</w:t>
            </w:r>
          </w:p>
        </w:tc>
        <w:tc>
          <w:tcPr>
            <w:tcW w:type="dxa" w:w="1440"/>
            <w:tcBorders>
              <w:top w:val="single" w:sz="4" w:space="0" w:color="000000"/>
              <w:left w:val="single" w:sz="4" w:space="0" w:color="000000"/>
              <w:bottom w:val="single" w:sz="4" w:space="0" w:color="000000"/>
              <w:right w:val="single" w:sz="4" w:space="0" w:color="000000"/>
            </w:tcBorders>
          </w:tcPr>
          <w:p>
            <w:pPr>
              <w:jc w:val="center"/>
            </w:pPr>
            <w:r>
              <w:t>1.074</w:t>
            </w:r>
          </w:p>
        </w:tc>
        <w:tc>
          <w:tcPr>
            <w:tcW w:type="dxa" w:w="1296"/>
            <w:tcBorders>
              <w:top w:val="single" w:sz="4" w:space="0" w:color="000000"/>
              <w:left w:val="single" w:sz="4" w:space="0" w:color="000000"/>
              <w:bottom w:val="single" w:sz="4" w:space="0" w:color="000000"/>
              <w:right w:val="single" w:sz="4" w:space="0" w:color="000000"/>
            </w:tcBorders>
          </w:tcPr>
          <w:p>
            <w:pPr>
              <w:jc w:val="center"/>
            </w:pPr>
            <w:r>
              <w:t>0.00240</w:t>
            </w:r>
          </w:p>
        </w:tc>
      </w:tr>
      <w:tr>
        <w:tc>
          <w:tcPr>
            <w:tcW w:type="dxa" w:w="1584"/>
            <w:tcBorders>
              <w:top w:val="single" w:sz="4" w:space="0" w:color="000000"/>
              <w:left w:val="single" w:sz="4" w:space="0" w:color="000000"/>
              <w:bottom w:val="single" w:sz="4" w:space="0" w:color="000000"/>
              <w:right w:val="single" w:sz="4" w:space="0" w:color="000000"/>
            </w:tcBorders>
          </w:tcPr>
          <w:p>
            <w:pPr>
              <w:jc w:val="center"/>
            </w:pPr>
            <w:r>
              <w:t>W3 CRDT Merge</w:t>
            </w:r>
          </w:p>
        </w:tc>
        <w:tc>
          <w:tcPr>
            <w:tcW w:type="dxa" w:w="1440"/>
            <w:tcBorders>
              <w:top w:val="single" w:sz="4" w:space="0" w:color="000000"/>
              <w:left w:val="single" w:sz="4" w:space="0" w:color="000000"/>
              <w:bottom w:val="single" w:sz="4" w:space="0" w:color="000000"/>
              <w:right w:val="single" w:sz="4" w:space="0" w:color="000000"/>
            </w:tcBorders>
          </w:tcPr>
          <w:p>
            <w:pPr>
              <w:jc w:val="center"/>
            </w:pPr>
            <w:r>
              <w:t>3747.9</w:t>
            </w:r>
          </w:p>
        </w:tc>
        <w:tc>
          <w:tcPr>
            <w:tcW w:type="dxa" w:w="1440"/>
            <w:tcBorders>
              <w:top w:val="single" w:sz="4" w:space="0" w:color="000000"/>
              <w:left w:val="single" w:sz="4" w:space="0" w:color="000000"/>
              <w:bottom w:val="single" w:sz="4" w:space="0" w:color="000000"/>
              <w:right w:val="single" w:sz="4" w:space="0" w:color="000000"/>
            </w:tcBorders>
          </w:tcPr>
          <w:p>
            <w:pPr>
              <w:jc w:val="center"/>
            </w:pPr>
            <w:r>
              <w:t>5.866</w:t>
            </w:r>
          </w:p>
        </w:tc>
        <w:tc>
          <w:tcPr>
            <w:tcW w:type="dxa" w:w="1440"/>
            <w:tcBorders>
              <w:top w:val="single" w:sz="4" w:space="0" w:color="000000"/>
              <w:left w:val="single" w:sz="4" w:space="0" w:color="000000"/>
              <w:bottom w:val="single" w:sz="4" w:space="0" w:color="000000"/>
              <w:right w:val="single" w:sz="4" w:space="0" w:color="000000"/>
            </w:tcBorders>
          </w:tcPr>
          <w:p>
            <w:pPr>
              <w:jc w:val="center"/>
            </w:pPr>
            <w:r>
              <w:t>0.121</w:t>
            </w:r>
          </w:p>
        </w:tc>
        <w:tc>
          <w:tcPr>
            <w:tcW w:type="dxa" w:w="1296"/>
            <w:tcBorders>
              <w:top w:val="single" w:sz="4" w:space="0" w:color="000000"/>
              <w:left w:val="single" w:sz="4" w:space="0" w:color="000000"/>
              <w:bottom w:val="single" w:sz="4" w:space="0" w:color="000000"/>
              <w:right w:val="single" w:sz="4" w:space="0" w:color="000000"/>
            </w:tcBorders>
          </w:tcPr>
          <w:p>
            <w:pPr>
              <w:jc w:val="center"/>
            </w:pPr>
            <w:r>
              <w:t>0.00242</w:t>
            </w:r>
          </w:p>
        </w:tc>
      </w:tr>
      <w:tr>
        <w:tc>
          <w:tcPr>
            <w:tcW w:type="dxa" w:w="1584"/>
            <w:tcBorders>
              <w:top w:val="single" w:sz="4" w:space="0" w:color="000000"/>
              <w:left w:val="single" w:sz="4" w:space="0" w:color="000000"/>
              <w:bottom w:val="single" w:sz="4" w:space="0" w:color="000000"/>
              <w:right w:val="single" w:sz="4" w:space="0" w:color="000000"/>
            </w:tcBorders>
          </w:tcPr>
          <w:p>
            <w:pPr>
              <w:jc w:val="center"/>
            </w:pPr>
            <w:r>
              <w:t>W4 Adaptive</w:t>
            </w:r>
          </w:p>
        </w:tc>
        <w:tc>
          <w:tcPr>
            <w:tcW w:type="dxa" w:w="1440"/>
            <w:tcBorders>
              <w:top w:val="single" w:sz="4" w:space="0" w:color="000000"/>
              <w:left w:val="single" w:sz="4" w:space="0" w:color="000000"/>
              <w:bottom w:val="single" w:sz="4" w:space="0" w:color="000000"/>
              <w:right w:val="single" w:sz="4" w:space="0" w:color="000000"/>
            </w:tcBorders>
          </w:tcPr>
          <w:p>
            <w:pPr>
              <w:jc w:val="center"/>
            </w:pPr>
            <w:r>
              <w:t>3752.8</w:t>
            </w:r>
          </w:p>
        </w:tc>
        <w:tc>
          <w:tcPr>
            <w:tcW w:type="dxa" w:w="1440"/>
            <w:tcBorders>
              <w:top w:val="single" w:sz="4" w:space="0" w:color="000000"/>
              <w:left w:val="single" w:sz="4" w:space="0" w:color="000000"/>
              <w:bottom w:val="single" w:sz="4" w:space="0" w:color="000000"/>
              <w:right w:val="single" w:sz="4" w:space="0" w:color="000000"/>
            </w:tcBorders>
          </w:tcPr>
          <w:p>
            <w:pPr>
              <w:jc w:val="center"/>
            </w:pPr>
            <w:r>
              <w:t>1.009</w:t>
            </w:r>
          </w:p>
        </w:tc>
        <w:tc>
          <w:tcPr>
            <w:tcW w:type="dxa" w:w="1440"/>
            <w:tcBorders>
              <w:top w:val="single" w:sz="4" w:space="0" w:color="000000"/>
              <w:left w:val="single" w:sz="4" w:space="0" w:color="000000"/>
              <w:bottom w:val="single" w:sz="4" w:space="0" w:color="000000"/>
              <w:right w:val="single" w:sz="4" w:space="0" w:color="000000"/>
            </w:tcBorders>
          </w:tcPr>
          <w:p>
            <w:pPr>
              <w:jc w:val="center"/>
            </w:pPr>
            <w:r>
              <w:t>0.022</w:t>
            </w:r>
          </w:p>
        </w:tc>
        <w:tc>
          <w:tcPr>
            <w:tcW w:type="dxa" w:w="1296"/>
            <w:tcBorders>
              <w:top w:val="single" w:sz="4" w:space="0" w:color="000000"/>
              <w:left w:val="single" w:sz="4" w:space="0" w:color="000000"/>
              <w:bottom w:val="single" w:sz="4" w:space="0" w:color="000000"/>
              <w:right w:val="single" w:sz="4" w:space="0" w:color="000000"/>
            </w:tcBorders>
          </w:tcPr>
          <w:p>
            <w:pPr>
              <w:jc w:val="center"/>
            </w:pPr>
            <w:r>
              <w:t>0.00240</w:t>
            </w:r>
          </w:p>
        </w:tc>
      </w:tr>
    </w:tbl>
    <w:p/>
    <w:p>
      <w:pPr>
        <w:pStyle w:val="PARAIndent"/>
      </w:pPr>
      <w:r>
        <w:t>Wilcoxon tests find no significant difference across all four comparisons (p=1.000 after Holm-Bonferroni). Write engine choice is not an independent performance lever; its effect becomes measurable only in interaction with the read engine.</w:t>
      </w:r>
    </w:p>
    <w:p>
      <w:pPr>
        <w:pStyle w:val="Heading2"/>
      </w:pPr>
      <w:r>
        <w:t>B. Experiment B: Read Engine Ablation</w:t>
      </w:r>
    </w:p>
    <w:p>
      <w:pPr>
        <w:pStyle w:val="TableTitle"/>
        <w:jc w:val="center"/>
      </w:pPr>
      <w:r>
        <w:rPr>
          <w:b/>
        </w:rPr>
        <w:t>TABLE IV</w:t>
      </w:r>
    </w:p>
    <w:p>
      <w:pPr>
        <w:pStyle w:val="TableTitle"/>
        <w:jc w:val="center"/>
      </w:pPr>
      <w:r>
        <w:t>Experiment B: Read Engine Performance (n=100, W0 fixed)</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872"/>
            <w:tcBorders>
              <w:top w:val="single" w:sz="4" w:space="0" w:color="000000"/>
              <w:left w:val="single" w:sz="4" w:space="0" w:color="000000"/>
              <w:bottom w:val="single" w:sz="4" w:space="0" w:color="000000"/>
              <w:right w:val="single" w:sz="4" w:space="0" w:color="000000"/>
            </w:tcBorders>
          </w:tcPr>
          <w:p>
            <w:pPr>
              <w:jc w:val="center"/>
            </w:pPr>
            <w:r>
              <w:rPr>
                <w:b/>
              </w:rPr>
              <w:t>Read Algo</w:t>
            </w:r>
          </w:p>
        </w:tc>
        <w:tc>
          <w:tcPr>
            <w:tcW w:type="dxa" w:w="1152"/>
            <w:tcBorders>
              <w:top w:val="single" w:sz="4" w:space="0" w:color="000000"/>
              <w:left w:val="single" w:sz="4" w:space="0" w:color="000000"/>
              <w:bottom w:val="single" w:sz="4" w:space="0" w:color="000000"/>
              <w:right w:val="single" w:sz="4" w:space="0" w:color="000000"/>
            </w:tcBorders>
          </w:tcPr>
          <w:p>
            <w:pPr>
              <w:jc w:val="center"/>
            </w:pPr>
            <w:r>
              <w:rPr>
                <w:b/>
              </w:rPr>
              <w:t>Handoff p50</w:t>
            </w:r>
          </w:p>
        </w:tc>
        <w:tc>
          <w:tcPr>
            <w:tcW w:type="dxa" w:w="936"/>
            <w:tcBorders>
              <w:top w:val="single" w:sz="4" w:space="0" w:color="000000"/>
              <w:left w:val="single" w:sz="4" w:space="0" w:color="000000"/>
              <w:bottom w:val="single" w:sz="4" w:space="0" w:color="000000"/>
              <w:right w:val="single" w:sz="4" w:space="0" w:color="000000"/>
            </w:tcBorders>
          </w:tcPr>
          <w:p>
            <w:pPr>
              <w:jc w:val="center"/>
            </w:pPr>
            <w:r>
              <w:rPr>
                <w:b/>
              </w:rPr>
              <w:t>Tokens</w:t>
            </w:r>
          </w:p>
        </w:tc>
        <w:tc>
          <w:tcPr>
            <w:tcW w:type="dxa" w:w="936"/>
            <w:tcBorders>
              <w:top w:val="single" w:sz="4" w:space="0" w:color="000000"/>
              <w:left w:val="single" w:sz="4" w:space="0" w:color="000000"/>
              <w:bottom w:val="single" w:sz="4" w:space="0" w:color="000000"/>
              <w:right w:val="single" w:sz="4" w:space="0" w:color="000000"/>
            </w:tcBorders>
          </w:tcPr>
          <w:p>
            <w:pPr>
              <w:jc w:val="center"/>
            </w:pPr>
            <w:r>
              <w:rPr>
                <w:b/>
              </w:rPr>
              <w:t>CR</w:t>
            </w:r>
          </w:p>
        </w:tc>
        <w:tc>
          <w:tcPr>
            <w:tcW w:type="dxa" w:w="936"/>
            <w:tcBorders>
              <w:top w:val="single" w:sz="4" w:space="0" w:color="000000"/>
              <w:left w:val="single" w:sz="4" w:space="0" w:color="000000"/>
              <w:bottom w:val="single" w:sz="4" w:space="0" w:color="000000"/>
              <w:right w:val="single" w:sz="4" w:space="0" w:color="000000"/>
            </w:tcBorders>
          </w:tcPr>
          <w:p>
            <w:pPr>
              <w:jc w:val="center"/>
            </w:pPr>
            <w:r>
              <w:rPr>
                <w:b/>
              </w:rPr>
              <w:t>Cost ($)</w:t>
            </w:r>
          </w:p>
        </w:tc>
        <w:tc>
          <w:tcPr>
            <w:tcW w:type="dxa" w:w="1008"/>
            <w:tcBorders>
              <w:top w:val="single" w:sz="4" w:space="0" w:color="000000"/>
              <w:left w:val="single" w:sz="4" w:space="0" w:color="000000"/>
              <w:bottom w:val="single" w:sz="4" w:space="0" w:color="000000"/>
              <w:right w:val="single" w:sz="4" w:space="0" w:color="000000"/>
            </w:tcBorders>
          </w:tcPr>
          <w:p>
            <w:pPr>
              <w:jc w:val="center"/>
            </w:pPr>
            <w:r>
              <w:rPr>
                <w:b/>
              </w:rPr>
              <w:t>Integrity</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R0 Full Dump</w:t>
            </w:r>
          </w:p>
        </w:tc>
        <w:tc>
          <w:tcPr>
            <w:tcW w:type="dxa" w:w="1152"/>
            <w:tcBorders>
              <w:top w:val="single" w:sz="4" w:space="0" w:color="000000"/>
              <w:left w:val="single" w:sz="4" w:space="0" w:color="000000"/>
              <w:bottom w:val="single" w:sz="4" w:space="0" w:color="000000"/>
              <w:right w:val="single" w:sz="4" w:space="0" w:color="000000"/>
            </w:tcBorders>
          </w:tcPr>
          <w:p>
            <w:pPr>
              <w:jc w:val="center"/>
            </w:pPr>
            <w:r>
              <w:t>3682</w:t>
            </w:r>
          </w:p>
        </w:tc>
        <w:tc>
          <w:tcPr>
            <w:tcW w:type="dxa" w:w="936"/>
            <w:tcBorders>
              <w:top w:val="single" w:sz="4" w:space="0" w:color="000000"/>
              <w:left w:val="single" w:sz="4" w:space="0" w:color="000000"/>
              <w:bottom w:val="single" w:sz="4" w:space="0" w:color="000000"/>
              <w:right w:val="single" w:sz="4" w:space="0" w:color="000000"/>
            </w:tcBorders>
          </w:tcPr>
          <w:p>
            <w:pPr>
              <w:jc w:val="center"/>
            </w:pPr>
            <w:r>
              <w:t>961</w:t>
            </w:r>
          </w:p>
        </w:tc>
        <w:tc>
          <w:tcPr>
            <w:tcW w:type="dxa" w:w="936"/>
            <w:tcBorders>
              <w:top w:val="single" w:sz="4" w:space="0" w:color="000000"/>
              <w:left w:val="single" w:sz="4" w:space="0" w:color="000000"/>
              <w:bottom w:val="single" w:sz="4" w:space="0" w:color="000000"/>
              <w:right w:val="single" w:sz="4" w:space="0" w:color="000000"/>
            </w:tcBorders>
          </w:tcPr>
          <w:p>
            <w:pPr>
              <w:jc w:val="center"/>
            </w:pPr>
            <w:r>
              <w:t>1.000</w:t>
            </w:r>
          </w:p>
        </w:tc>
        <w:tc>
          <w:tcPr>
            <w:tcW w:type="dxa" w:w="936"/>
            <w:tcBorders>
              <w:top w:val="single" w:sz="4" w:space="0" w:color="000000"/>
              <w:left w:val="single" w:sz="4" w:space="0" w:color="000000"/>
              <w:bottom w:val="single" w:sz="4" w:space="0" w:color="000000"/>
              <w:right w:val="single" w:sz="4" w:space="0" w:color="000000"/>
            </w:tcBorders>
          </w:tcPr>
          <w:p>
            <w:pPr>
              <w:jc w:val="center"/>
            </w:pPr>
            <w:r>
              <w:t>0.00243</w:t>
            </w:r>
          </w:p>
        </w:tc>
        <w:tc>
          <w:tcPr>
            <w:tcW w:type="dxa" w:w="1008"/>
            <w:tcBorders>
              <w:top w:val="single" w:sz="4" w:space="0" w:color="000000"/>
              <w:left w:val="single" w:sz="4" w:space="0" w:color="000000"/>
              <w:bottom w:val="single" w:sz="4" w:space="0" w:color="000000"/>
              <w:right w:val="single" w:sz="4" w:space="0" w:color="000000"/>
            </w:tcBorders>
          </w:tcPr>
          <w:p>
            <w:pPr>
              <w:jc w:val="center"/>
            </w:pPr>
            <w:r>
              <w:t>0.610</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R1 Milestone Hydration</w:t>
            </w:r>
          </w:p>
        </w:tc>
        <w:tc>
          <w:tcPr>
            <w:tcW w:type="dxa" w:w="1152"/>
            <w:tcBorders>
              <w:top w:val="single" w:sz="4" w:space="0" w:color="000000"/>
              <w:left w:val="single" w:sz="4" w:space="0" w:color="000000"/>
              <w:bottom w:val="single" w:sz="4" w:space="0" w:color="000000"/>
              <w:right w:val="single" w:sz="4" w:space="0" w:color="000000"/>
            </w:tcBorders>
          </w:tcPr>
          <w:p>
            <w:pPr>
              <w:jc w:val="center"/>
            </w:pPr>
            <w:r>
              <w:t>4122</w:t>
            </w:r>
          </w:p>
        </w:tc>
        <w:tc>
          <w:tcPr>
            <w:tcW w:type="dxa" w:w="936"/>
            <w:tcBorders>
              <w:top w:val="single" w:sz="4" w:space="0" w:color="000000"/>
              <w:left w:val="single" w:sz="4" w:space="0" w:color="000000"/>
              <w:bottom w:val="single" w:sz="4" w:space="0" w:color="000000"/>
              <w:right w:val="single" w:sz="4" w:space="0" w:color="000000"/>
            </w:tcBorders>
          </w:tcPr>
          <w:p>
            <w:pPr>
              <w:jc w:val="center"/>
            </w:pPr>
            <w:r>
              <w:t>471</w:t>
            </w:r>
          </w:p>
        </w:tc>
        <w:tc>
          <w:tcPr>
            <w:tcW w:type="dxa" w:w="936"/>
            <w:tcBorders>
              <w:top w:val="single" w:sz="4" w:space="0" w:color="000000"/>
              <w:left w:val="single" w:sz="4" w:space="0" w:color="000000"/>
              <w:bottom w:val="single" w:sz="4" w:space="0" w:color="000000"/>
              <w:right w:val="single" w:sz="4" w:space="0" w:color="000000"/>
            </w:tcBorders>
          </w:tcPr>
          <w:p>
            <w:pPr>
              <w:jc w:val="center"/>
            </w:pPr>
            <w:r>
              <w:t>2.179</w:t>
            </w:r>
          </w:p>
        </w:tc>
        <w:tc>
          <w:tcPr>
            <w:tcW w:type="dxa" w:w="936"/>
            <w:tcBorders>
              <w:top w:val="single" w:sz="4" w:space="0" w:color="000000"/>
              <w:left w:val="single" w:sz="4" w:space="0" w:color="000000"/>
              <w:bottom w:val="single" w:sz="4" w:space="0" w:color="000000"/>
              <w:right w:val="single" w:sz="4" w:space="0" w:color="000000"/>
            </w:tcBorders>
          </w:tcPr>
          <w:p>
            <w:pPr>
              <w:jc w:val="center"/>
            </w:pPr>
            <w:r>
              <w:t>0.00209</w:t>
            </w:r>
          </w:p>
        </w:tc>
        <w:tc>
          <w:tcPr>
            <w:tcW w:type="dxa" w:w="1008"/>
            <w:tcBorders>
              <w:top w:val="single" w:sz="4" w:space="0" w:color="000000"/>
              <w:left w:val="single" w:sz="4" w:space="0" w:color="000000"/>
              <w:bottom w:val="single" w:sz="4" w:space="0" w:color="000000"/>
              <w:right w:val="single" w:sz="4" w:space="0" w:color="000000"/>
            </w:tcBorders>
          </w:tcPr>
          <w:p>
            <w:pPr>
              <w:jc w:val="center"/>
            </w:pPr>
            <w:r>
              <w:t>0.715</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R2 LLM Summarization</w:t>
            </w:r>
          </w:p>
        </w:tc>
        <w:tc>
          <w:tcPr>
            <w:tcW w:type="dxa" w:w="1152"/>
            <w:tcBorders>
              <w:top w:val="single" w:sz="4" w:space="0" w:color="000000"/>
              <w:left w:val="single" w:sz="4" w:space="0" w:color="000000"/>
              <w:bottom w:val="single" w:sz="4" w:space="0" w:color="000000"/>
              <w:right w:val="single" w:sz="4" w:space="0" w:color="000000"/>
            </w:tcBorders>
          </w:tcPr>
          <w:p>
            <w:pPr>
              <w:jc w:val="center"/>
            </w:pPr>
            <w:r>
              <w:t>5013</w:t>
            </w:r>
          </w:p>
        </w:tc>
        <w:tc>
          <w:tcPr>
            <w:tcW w:type="dxa" w:w="936"/>
            <w:tcBorders>
              <w:top w:val="single" w:sz="4" w:space="0" w:color="000000"/>
              <w:left w:val="single" w:sz="4" w:space="0" w:color="000000"/>
              <w:bottom w:val="single" w:sz="4" w:space="0" w:color="000000"/>
              <w:right w:val="single" w:sz="4" w:space="0" w:color="000000"/>
            </w:tcBorders>
          </w:tcPr>
          <w:p>
            <w:pPr>
              <w:jc w:val="center"/>
            </w:pPr>
            <w:r>
              <w:t>295</w:t>
            </w:r>
          </w:p>
        </w:tc>
        <w:tc>
          <w:tcPr>
            <w:tcW w:type="dxa" w:w="936"/>
            <w:tcBorders>
              <w:top w:val="single" w:sz="4" w:space="0" w:color="000000"/>
              <w:left w:val="single" w:sz="4" w:space="0" w:color="000000"/>
              <w:bottom w:val="single" w:sz="4" w:space="0" w:color="000000"/>
              <w:right w:val="single" w:sz="4" w:space="0" w:color="000000"/>
            </w:tcBorders>
          </w:tcPr>
          <w:p>
            <w:pPr>
              <w:jc w:val="center"/>
            </w:pPr>
            <w:r>
              <w:t>3.661</w:t>
            </w:r>
          </w:p>
        </w:tc>
        <w:tc>
          <w:tcPr>
            <w:tcW w:type="dxa" w:w="936"/>
            <w:tcBorders>
              <w:top w:val="single" w:sz="4" w:space="0" w:color="000000"/>
              <w:left w:val="single" w:sz="4" w:space="0" w:color="000000"/>
              <w:bottom w:val="single" w:sz="4" w:space="0" w:color="000000"/>
              <w:right w:val="single" w:sz="4" w:space="0" w:color="000000"/>
            </w:tcBorders>
          </w:tcPr>
          <w:p>
            <w:pPr>
              <w:jc w:val="center"/>
            </w:pPr>
            <w:r>
              <w:t>0.00476</w:t>
            </w:r>
          </w:p>
        </w:tc>
        <w:tc>
          <w:tcPr>
            <w:tcW w:type="dxa" w:w="1008"/>
            <w:tcBorders>
              <w:top w:val="single" w:sz="4" w:space="0" w:color="000000"/>
              <w:left w:val="single" w:sz="4" w:space="0" w:color="000000"/>
              <w:bottom w:val="single" w:sz="4" w:space="0" w:color="000000"/>
              <w:right w:val="single" w:sz="4" w:space="0" w:color="000000"/>
            </w:tcBorders>
          </w:tcPr>
          <w:p>
            <w:pPr>
              <w:jc w:val="center"/>
            </w:pPr>
            <w:r>
              <w:t>0.860</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R3 Semantic RAG</w:t>
            </w:r>
          </w:p>
        </w:tc>
        <w:tc>
          <w:tcPr>
            <w:tcW w:type="dxa" w:w="1152"/>
            <w:tcBorders>
              <w:top w:val="single" w:sz="4" w:space="0" w:color="000000"/>
              <w:left w:val="single" w:sz="4" w:space="0" w:color="000000"/>
              <w:bottom w:val="single" w:sz="4" w:space="0" w:color="000000"/>
              <w:right w:val="single" w:sz="4" w:space="0" w:color="000000"/>
            </w:tcBorders>
          </w:tcPr>
          <w:p>
            <w:pPr>
              <w:jc w:val="center"/>
            </w:pPr>
            <w:r>
              <w:t>4289</w:t>
            </w:r>
          </w:p>
        </w:tc>
        <w:tc>
          <w:tcPr>
            <w:tcW w:type="dxa" w:w="936"/>
            <w:tcBorders>
              <w:top w:val="single" w:sz="4" w:space="0" w:color="000000"/>
              <w:left w:val="single" w:sz="4" w:space="0" w:color="000000"/>
              <w:bottom w:val="single" w:sz="4" w:space="0" w:color="000000"/>
              <w:right w:val="single" w:sz="4" w:space="0" w:color="000000"/>
            </w:tcBorders>
          </w:tcPr>
          <w:p>
            <w:pPr>
              <w:jc w:val="center"/>
            </w:pPr>
            <w:r>
              <w:t>637</w:t>
            </w:r>
          </w:p>
        </w:tc>
        <w:tc>
          <w:tcPr>
            <w:tcW w:type="dxa" w:w="936"/>
            <w:tcBorders>
              <w:top w:val="single" w:sz="4" w:space="0" w:color="000000"/>
              <w:left w:val="single" w:sz="4" w:space="0" w:color="000000"/>
              <w:bottom w:val="single" w:sz="4" w:space="0" w:color="000000"/>
              <w:right w:val="single" w:sz="4" w:space="0" w:color="000000"/>
            </w:tcBorders>
          </w:tcPr>
          <w:p>
            <w:pPr>
              <w:jc w:val="center"/>
            </w:pPr>
            <w:r>
              <w:t>1.930</w:t>
            </w:r>
          </w:p>
        </w:tc>
        <w:tc>
          <w:tcPr>
            <w:tcW w:type="dxa" w:w="936"/>
            <w:tcBorders>
              <w:top w:val="single" w:sz="4" w:space="0" w:color="000000"/>
              <w:left w:val="single" w:sz="4" w:space="0" w:color="000000"/>
              <w:bottom w:val="single" w:sz="4" w:space="0" w:color="000000"/>
              <w:right w:val="single" w:sz="4" w:space="0" w:color="000000"/>
            </w:tcBorders>
          </w:tcPr>
          <w:p>
            <w:pPr>
              <w:jc w:val="center"/>
            </w:pPr>
            <w:r>
              <w:t>0.00258</w:t>
            </w:r>
          </w:p>
        </w:tc>
        <w:tc>
          <w:tcPr>
            <w:tcW w:type="dxa" w:w="1008"/>
            <w:tcBorders>
              <w:top w:val="single" w:sz="4" w:space="0" w:color="000000"/>
              <w:left w:val="single" w:sz="4" w:space="0" w:color="000000"/>
              <w:bottom w:val="single" w:sz="4" w:space="0" w:color="000000"/>
              <w:right w:val="single" w:sz="4" w:space="0" w:color="000000"/>
            </w:tcBorders>
          </w:tcPr>
          <w:p>
            <w:pPr>
              <w:jc w:val="center"/>
            </w:pPr>
            <w:r>
              <w:t>0.930</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R4 MemGPT Hierarchical</w:t>
            </w:r>
          </w:p>
        </w:tc>
        <w:tc>
          <w:tcPr>
            <w:tcW w:type="dxa" w:w="1152"/>
            <w:tcBorders>
              <w:top w:val="single" w:sz="4" w:space="0" w:color="000000"/>
              <w:left w:val="single" w:sz="4" w:space="0" w:color="000000"/>
              <w:bottom w:val="single" w:sz="4" w:space="0" w:color="000000"/>
              <w:right w:val="single" w:sz="4" w:space="0" w:color="000000"/>
            </w:tcBorders>
          </w:tcPr>
          <w:p>
            <w:pPr>
              <w:jc w:val="center"/>
            </w:pPr>
            <w:r>
              <w:t>4347</w:t>
            </w:r>
          </w:p>
        </w:tc>
        <w:tc>
          <w:tcPr>
            <w:tcW w:type="dxa" w:w="936"/>
            <w:tcBorders>
              <w:top w:val="single" w:sz="4" w:space="0" w:color="000000"/>
              <w:left w:val="single" w:sz="4" w:space="0" w:color="000000"/>
              <w:bottom w:val="single" w:sz="4" w:space="0" w:color="000000"/>
              <w:right w:val="single" w:sz="4" w:space="0" w:color="000000"/>
            </w:tcBorders>
          </w:tcPr>
          <w:p>
            <w:pPr>
              <w:jc w:val="center"/>
            </w:pPr>
            <w:r>
              <w:t>805</w:t>
            </w:r>
          </w:p>
        </w:tc>
        <w:tc>
          <w:tcPr>
            <w:tcW w:type="dxa" w:w="936"/>
            <w:tcBorders>
              <w:top w:val="single" w:sz="4" w:space="0" w:color="000000"/>
              <w:left w:val="single" w:sz="4" w:space="0" w:color="000000"/>
              <w:bottom w:val="single" w:sz="4" w:space="0" w:color="000000"/>
              <w:right w:val="single" w:sz="4" w:space="0" w:color="000000"/>
            </w:tcBorders>
          </w:tcPr>
          <w:p>
            <w:pPr>
              <w:jc w:val="center"/>
            </w:pPr>
            <w:r>
              <w:t>1.345</w:t>
            </w:r>
          </w:p>
        </w:tc>
        <w:tc>
          <w:tcPr>
            <w:tcW w:type="dxa" w:w="936"/>
            <w:tcBorders>
              <w:top w:val="single" w:sz="4" w:space="0" w:color="000000"/>
              <w:left w:val="single" w:sz="4" w:space="0" w:color="000000"/>
              <w:bottom w:val="single" w:sz="4" w:space="0" w:color="000000"/>
              <w:right w:val="single" w:sz="4" w:space="0" w:color="000000"/>
            </w:tcBorders>
          </w:tcPr>
          <w:p>
            <w:pPr>
              <w:jc w:val="center"/>
            </w:pPr>
            <w:r>
              <w:t>0.00275</w:t>
            </w:r>
          </w:p>
        </w:tc>
        <w:tc>
          <w:tcPr>
            <w:tcW w:type="dxa" w:w="1008"/>
            <w:tcBorders>
              <w:top w:val="single" w:sz="4" w:space="0" w:color="000000"/>
              <w:left w:val="single" w:sz="4" w:space="0" w:color="000000"/>
              <w:bottom w:val="single" w:sz="4" w:space="0" w:color="000000"/>
              <w:right w:val="single" w:sz="4" w:space="0" w:color="000000"/>
            </w:tcBorders>
          </w:tcPr>
          <w:p>
            <w:pPr>
              <w:jc w:val="center"/>
            </w:pPr>
            <w:r>
              <w:t>0.968</w:t>
            </w:r>
          </w:p>
        </w:tc>
      </w:tr>
    </w:tbl>
    <w:p/>
    <w:p>
      <w:pPr>
        <w:pStyle w:val="PARAIndent"/>
      </w:pPr>
      <w:r>
        <w:t>All R1–R4 strategies significantly reduce token count (p&lt;0.0001). R1 is the only strategy that also cuts cost (14% reduction, p&lt;0.0001). R2 presents a cost paradox: highest compression (3.661×) yet highest cost ($0.00476, +96% vs. baseline) due to the summarization API call. R4 achieves the highest integrity (0.968) with moderate tokens.</w:t>
      </w:r>
    </w:p>
    <w:p>
      <w:pPr>
        <w:pStyle w:val="Heading2"/>
      </w:pPr>
      <w:r>
        <w:t>C. Experiment D: Full 5×5 Compatibility Surface</w:t>
      </w:r>
    </w:p>
    <w:p>
      <w:pPr>
        <w:pStyle w:val="TableTitle"/>
        <w:jc w:val="center"/>
      </w:pPr>
      <w:r>
        <w:rPr>
          <w:b/>
        </w:rPr>
        <w:t>TABLE V</w:t>
      </w:r>
    </w:p>
    <w:p>
      <w:pPr>
        <w:pStyle w:val="TableTitle"/>
        <w:jc w:val="center"/>
      </w:pPr>
      <w:r>
        <w:t>Experiment D: State Integrity Score (mean ± std), n=100 per cell (CASSANDRA_STUB=1)</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504"/>
            <w:tcBorders>
              <w:top w:val="single" w:sz="4" w:space="0" w:color="000000"/>
              <w:left w:val="single" w:sz="4" w:space="0" w:color="000000"/>
              <w:bottom w:val="single" w:sz="4" w:space="0" w:color="000000"/>
              <w:right w:val="single" w:sz="4" w:space="0" w:color="000000"/>
            </w:tcBorders>
          </w:tcPr>
          <w:p>
            <w:pPr>
              <w:jc w:val="center"/>
            </w:pPr>
            <w:r>
              <w:rPr>
                <w:b/>
              </w:rPr>
            </w:r>
          </w:p>
        </w:tc>
        <w:tc>
          <w:tcPr>
            <w:tcW w:type="dxa" w:w="1152"/>
            <w:tcBorders>
              <w:top w:val="single" w:sz="4" w:space="0" w:color="000000"/>
              <w:left w:val="single" w:sz="4" w:space="0" w:color="000000"/>
              <w:bottom w:val="single" w:sz="4" w:space="0" w:color="000000"/>
              <w:right w:val="single" w:sz="4" w:space="0" w:color="000000"/>
            </w:tcBorders>
          </w:tcPr>
          <w:p>
            <w:pPr>
              <w:jc w:val="center"/>
            </w:pPr>
            <w:r>
              <w:rPr>
                <w:b/>
              </w:rPr>
              <w:t>R0</w:t>
            </w:r>
          </w:p>
        </w:tc>
        <w:tc>
          <w:tcPr>
            <w:tcW w:type="dxa" w:w="1152"/>
            <w:tcBorders>
              <w:top w:val="single" w:sz="4" w:space="0" w:color="000000"/>
              <w:left w:val="single" w:sz="4" w:space="0" w:color="000000"/>
              <w:bottom w:val="single" w:sz="4" w:space="0" w:color="000000"/>
              <w:right w:val="single" w:sz="4" w:space="0" w:color="000000"/>
            </w:tcBorders>
          </w:tcPr>
          <w:p>
            <w:pPr>
              <w:jc w:val="center"/>
            </w:pPr>
            <w:r>
              <w:rPr>
                <w:b/>
              </w:rPr>
              <w:t>R1</w:t>
            </w:r>
          </w:p>
        </w:tc>
        <w:tc>
          <w:tcPr>
            <w:tcW w:type="dxa" w:w="1152"/>
            <w:tcBorders>
              <w:top w:val="single" w:sz="4" w:space="0" w:color="000000"/>
              <w:left w:val="single" w:sz="4" w:space="0" w:color="000000"/>
              <w:bottom w:val="single" w:sz="4" w:space="0" w:color="000000"/>
              <w:right w:val="single" w:sz="4" w:space="0" w:color="000000"/>
            </w:tcBorders>
          </w:tcPr>
          <w:p>
            <w:pPr>
              <w:jc w:val="center"/>
            </w:pPr>
            <w:r>
              <w:rPr>
                <w:b/>
              </w:rPr>
              <w:t>R2</w:t>
            </w:r>
          </w:p>
        </w:tc>
        <w:tc>
          <w:tcPr>
            <w:tcW w:type="dxa" w:w="1368"/>
            <w:tcBorders>
              <w:top w:val="single" w:sz="4" w:space="0" w:color="000000"/>
              <w:left w:val="single" w:sz="4" w:space="0" w:color="000000"/>
              <w:bottom w:val="single" w:sz="4" w:space="0" w:color="000000"/>
              <w:right w:val="single" w:sz="4" w:space="0" w:color="000000"/>
            </w:tcBorders>
          </w:tcPr>
          <w:p>
            <w:pPr>
              <w:jc w:val="center"/>
            </w:pPr>
            <w:r>
              <w:rPr>
                <w:b/>
              </w:rPr>
              <w:t>R3 (stub)</w:t>
            </w:r>
          </w:p>
        </w:tc>
        <w:tc>
          <w:tcPr>
            <w:tcW w:type="dxa" w:w="1152"/>
            <w:tcBorders>
              <w:top w:val="single" w:sz="4" w:space="0" w:color="000000"/>
              <w:left w:val="single" w:sz="4" w:space="0" w:color="000000"/>
              <w:bottom w:val="single" w:sz="4" w:space="0" w:color="000000"/>
              <w:right w:val="single" w:sz="4" w:space="0" w:color="000000"/>
            </w:tcBorders>
          </w:tcPr>
          <w:p>
            <w:pPr>
              <w:jc w:val="center"/>
            </w:pPr>
            <w:r>
              <w:rPr>
                <w:b/>
              </w:rPr>
              <w:t>R4</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t>W0</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0.610±0.388</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0.715±0.364</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0.860±0.303</w:t>
            </w:r>
          </w:p>
        </w:tc>
        <w:tc>
          <w:tcPr>
            <w:tcW w:type="dxa" w:w="1368"/>
            <w:tcBorders>
              <w:top w:val="single" w:sz="4" w:space="0" w:color="000000"/>
              <w:left w:val="single" w:sz="4" w:space="0" w:color="000000"/>
              <w:bottom w:val="single" w:sz="4" w:space="0" w:color="000000"/>
              <w:right w:val="single" w:sz="4" w:space="0" w:color="000000"/>
            </w:tcBorders>
          </w:tcPr>
          <w:p>
            <w:pPr>
              <w:jc w:val="center"/>
            </w:pPr>
            <w:r>
              <w:t>0.930±0.162</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0.968±0.126</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t>W1</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0.528±0.437</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0.703±0.379</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0.810±0.334</w:t>
            </w:r>
          </w:p>
        </w:tc>
        <w:tc>
          <w:tcPr>
            <w:tcW w:type="dxa" w:w="1368"/>
            <w:tcBorders>
              <w:top w:val="single" w:sz="4" w:space="0" w:color="000000"/>
              <w:left w:val="single" w:sz="4" w:space="0" w:color="000000"/>
              <w:bottom w:val="single" w:sz="4" w:space="0" w:color="000000"/>
              <w:right w:val="single" w:sz="4" w:space="0" w:color="000000"/>
            </w:tcBorders>
          </w:tcPr>
          <w:p>
            <w:pPr>
              <w:jc w:val="center"/>
            </w:pPr>
            <w:r>
              <w:t>0.933±0.173</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0.985±0.085</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t>W2</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0.595±0.417</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0.675±0.399</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0.820±0.332</w:t>
            </w:r>
          </w:p>
        </w:tc>
        <w:tc>
          <w:tcPr>
            <w:tcW w:type="dxa" w:w="1368"/>
            <w:tcBorders>
              <w:top w:val="single" w:sz="4" w:space="0" w:color="000000"/>
              <w:left w:val="single" w:sz="4" w:space="0" w:color="000000"/>
              <w:bottom w:val="single" w:sz="4" w:space="0" w:color="000000"/>
              <w:right w:val="single" w:sz="4" w:space="0" w:color="000000"/>
            </w:tcBorders>
          </w:tcPr>
          <w:p>
            <w:pPr>
              <w:jc w:val="center"/>
            </w:pPr>
            <w:r>
              <w:t>0.918±0.200</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0.968±0.149</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t>W3</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0.658±0.418</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0.713±0.365</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0.788±0.361</w:t>
            </w:r>
          </w:p>
        </w:tc>
        <w:tc>
          <w:tcPr>
            <w:tcW w:type="dxa" w:w="1368"/>
            <w:tcBorders>
              <w:top w:val="single" w:sz="4" w:space="0" w:color="000000"/>
              <w:left w:val="single" w:sz="4" w:space="0" w:color="000000"/>
              <w:bottom w:val="single" w:sz="4" w:space="0" w:color="000000"/>
              <w:right w:val="single" w:sz="4" w:space="0" w:color="000000"/>
            </w:tcBorders>
          </w:tcPr>
          <w:p>
            <w:pPr>
              <w:jc w:val="center"/>
            </w:pPr>
            <w:r>
              <w:t>0.928±0.198</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0.960±0.157</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t>W4</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0.585±0.432</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0.723±0.364</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0.795±0.375</w:t>
            </w:r>
          </w:p>
        </w:tc>
        <w:tc>
          <w:tcPr>
            <w:tcW w:type="dxa" w:w="1368"/>
            <w:tcBorders>
              <w:top w:val="single" w:sz="4" w:space="0" w:color="000000"/>
              <w:left w:val="single" w:sz="4" w:space="0" w:color="000000"/>
              <w:bottom w:val="single" w:sz="4" w:space="0" w:color="000000"/>
              <w:right w:val="single" w:sz="4" w:space="0" w:color="000000"/>
            </w:tcBorders>
          </w:tcPr>
          <w:p>
            <w:pPr>
              <w:jc w:val="center"/>
            </w:pPr>
            <w:r>
              <w:t>0.933±0.190</w:t>
            </w:r>
          </w:p>
        </w:tc>
        <w:tc>
          <w:tcPr>
            <w:tcW w:type="dxa" w:w="1152"/>
            <w:tcBorders>
              <w:top w:val="single" w:sz="4" w:space="0" w:color="000000"/>
              <w:left w:val="single" w:sz="4" w:space="0" w:color="000000"/>
              <w:bottom w:val="single" w:sz="4" w:space="0" w:color="000000"/>
              <w:right w:val="single" w:sz="4" w:space="0" w:color="000000"/>
            </w:tcBorders>
          </w:tcPr>
          <w:p>
            <w:pPr>
              <w:jc w:val="center"/>
            </w:pPr>
            <w:r>
              <w:t>0.955±0.152</w:t>
            </w:r>
          </w:p>
        </w:tc>
      </w:tr>
    </w:tbl>
    <w:p/>
    <w:p>
      <w:pPr>
        <w:pStyle w:val="TableTitle"/>
        <w:jc w:val="center"/>
      </w:pPr>
      <w:r>
        <w:rPr>
          <w:b/>
        </w:rPr>
        <w:t>TABLE VI</w:t>
      </w:r>
    </w:p>
    <w:p>
      <w:pPr>
        <w:pStyle w:val="TableTitle"/>
        <w:jc w:val="center"/>
      </w:pPr>
      <w:r>
        <w:t>Experiment D: Handoff Latency p50 (ms), n=100 per cell</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504"/>
            <w:tcBorders>
              <w:top w:val="single" w:sz="4" w:space="0" w:color="000000"/>
              <w:left w:val="single" w:sz="4" w:space="0" w:color="000000"/>
              <w:bottom w:val="single" w:sz="4" w:space="0" w:color="000000"/>
              <w:right w:val="single" w:sz="4" w:space="0" w:color="000000"/>
            </w:tcBorders>
          </w:tcPr>
          <w:p>
            <w:pPr>
              <w:jc w:val="center"/>
            </w:pPr>
            <w:r>
              <w:rPr>
                <w:b/>
              </w:rPr>
            </w:r>
          </w:p>
        </w:tc>
        <w:tc>
          <w:tcPr>
            <w:tcW w:type="dxa" w:w="1080"/>
            <w:tcBorders>
              <w:top w:val="single" w:sz="4" w:space="0" w:color="000000"/>
              <w:left w:val="single" w:sz="4" w:space="0" w:color="000000"/>
              <w:bottom w:val="single" w:sz="4" w:space="0" w:color="000000"/>
              <w:right w:val="single" w:sz="4" w:space="0" w:color="000000"/>
            </w:tcBorders>
          </w:tcPr>
          <w:p>
            <w:pPr>
              <w:jc w:val="center"/>
            </w:pPr>
            <w:r>
              <w:rPr>
                <w:b/>
              </w:rPr>
              <w:t>R0</w:t>
            </w:r>
          </w:p>
        </w:tc>
        <w:tc>
          <w:tcPr>
            <w:tcW w:type="dxa" w:w="1080"/>
            <w:tcBorders>
              <w:top w:val="single" w:sz="4" w:space="0" w:color="000000"/>
              <w:left w:val="single" w:sz="4" w:space="0" w:color="000000"/>
              <w:bottom w:val="single" w:sz="4" w:space="0" w:color="000000"/>
              <w:right w:val="single" w:sz="4" w:space="0" w:color="000000"/>
            </w:tcBorders>
          </w:tcPr>
          <w:p>
            <w:pPr>
              <w:jc w:val="center"/>
            </w:pPr>
            <w:r>
              <w:rPr>
                <w:b/>
              </w:rPr>
              <w:t>R1</w:t>
            </w:r>
          </w:p>
        </w:tc>
        <w:tc>
          <w:tcPr>
            <w:tcW w:type="dxa" w:w="1080"/>
            <w:tcBorders>
              <w:top w:val="single" w:sz="4" w:space="0" w:color="000000"/>
              <w:left w:val="single" w:sz="4" w:space="0" w:color="000000"/>
              <w:bottom w:val="single" w:sz="4" w:space="0" w:color="000000"/>
              <w:right w:val="single" w:sz="4" w:space="0" w:color="000000"/>
            </w:tcBorders>
          </w:tcPr>
          <w:p>
            <w:pPr>
              <w:jc w:val="center"/>
            </w:pPr>
            <w:r>
              <w:rPr>
                <w:b/>
              </w:rPr>
              <w:t>R2</w:t>
            </w:r>
          </w:p>
        </w:tc>
        <w:tc>
          <w:tcPr>
            <w:tcW w:type="dxa" w:w="1080"/>
            <w:tcBorders>
              <w:top w:val="single" w:sz="4" w:space="0" w:color="000000"/>
              <w:left w:val="single" w:sz="4" w:space="0" w:color="000000"/>
              <w:bottom w:val="single" w:sz="4" w:space="0" w:color="000000"/>
              <w:right w:val="single" w:sz="4" w:space="0" w:color="000000"/>
            </w:tcBorders>
          </w:tcPr>
          <w:p>
            <w:pPr>
              <w:jc w:val="center"/>
            </w:pPr>
            <w:r>
              <w:rPr>
                <w:b/>
              </w:rPr>
              <w:t>R3</w:t>
            </w:r>
          </w:p>
        </w:tc>
        <w:tc>
          <w:tcPr>
            <w:tcW w:type="dxa" w:w="1080"/>
            <w:tcBorders>
              <w:top w:val="single" w:sz="4" w:space="0" w:color="000000"/>
              <w:left w:val="single" w:sz="4" w:space="0" w:color="000000"/>
              <w:bottom w:val="single" w:sz="4" w:space="0" w:color="000000"/>
              <w:right w:val="single" w:sz="4" w:space="0" w:color="000000"/>
            </w:tcBorders>
          </w:tcPr>
          <w:p>
            <w:pPr>
              <w:jc w:val="center"/>
            </w:pPr>
            <w:r>
              <w:rPr>
                <w:b/>
              </w:rPr>
              <w:t>R4</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t>W0</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4088</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4381</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4906</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4548</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4685</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t>W1</w:t>
            </w:r>
          </w:p>
        </w:tc>
        <w:tc>
          <w:tcPr>
            <w:tcW w:type="dxa" w:w="1080"/>
            <w:tcBorders>
              <w:top w:val="single" w:sz="4" w:space="0" w:color="000000"/>
              <w:left w:val="single" w:sz="4" w:space="0" w:color="000000"/>
              <w:bottom w:val="single" w:sz="4" w:space="0" w:color="000000"/>
              <w:right w:val="single" w:sz="4" w:space="0" w:color="000000"/>
            </w:tcBorders>
          </w:tcPr>
          <w:p>
            <w:pPr>
              <w:jc w:val="center"/>
            </w:pPr>
            <w:r>
              <w:t>3768</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4230</w:t>
            </w:r>
          </w:p>
        </w:tc>
        <w:tc>
          <w:tcPr>
            <w:tcW w:type="dxa" w:w="1080"/>
            <w:tcBorders>
              <w:top w:val="single" w:sz="4" w:space="0" w:color="000000"/>
              <w:left w:val="single" w:sz="4" w:space="0" w:color="000000"/>
              <w:bottom w:val="single" w:sz="4" w:space="0" w:color="000000"/>
              <w:right w:val="single" w:sz="4" w:space="0" w:color="000000"/>
            </w:tcBorders>
          </w:tcPr>
          <w:p>
            <w:pPr>
              <w:jc w:val="center"/>
            </w:pPr>
            <w:r>
              <w:t>5099</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4612</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4626</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t>W2</w:t>
            </w:r>
          </w:p>
        </w:tc>
        <w:tc>
          <w:tcPr>
            <w:tcW w:type="dxa" w:w="1080"/>
            <w:tcBorders>
              <w:top w:val="single" w:sz="4" w:space="0" w:color="000000"/>
              <w:left w:val="single" w:sz="4" w:space="0" w:color="000000"/>
              <w:bottom w:val="single" w:sz="4" w:space="0" w:color="000000"/>
              <w:right w:val="single" w:sz="4" w:space="0" w:color="000000"/>
            </w:tcBorders>
          </w:tcPr>
          <w:p>
            <w:pPr>
              <w:jc w:val="center"/>
            </w:pPr>
            <w:r>
              <w:t>3931</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4653</w:t>
            </w:r>
          </w:p>
        </w:tc>
        <w:tc>
          <w:tcPr>
            <w:tcW w:type="dxa" w:w="1080"/>
            <w:tcBorders>
              <w:top w:val="single" w:sz="4" w:space="0" w:color="000000"/>
              <w:left w:val="single" w:sz="4" w:space="0" w:color="000000"/>
              <w:bottom w:val="single" w:sz="4" w:space="0" w:color="000000"/>
              <w:right w:val="single" w:sz="4" w:space="0" w:color="000000"/>
            </w:tcBorders>
          </w:tcPr>
          <w:p>
            <w:pPr>
              <w:jc w:val="center"/>
            </w:pPr>
            <w:r>
              <w:t>5082</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4553</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4573</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t>W3</w:t>
            </w:r>
          </w:p>
        </w:tc>
        <w:tc>
          <w:tcPr>
            <w:tcW w:type="dxa" w:w="1080"/>
            <w:tcBorders>
              <w:top w:val="single" w:sz="4" w:space="0" w:color="000000"/>
              <w:left w:val="single" w:sz="4" w:space="0" w:color="000000"/>
              <w:bottom w:val="single" w:sz="4" w:space="0" w:color="000000"/>
              <w:right w:val="single" w:sz="4" w:space="0" w:color="000000"/>
            </w:tcBorders>
          </w:tcPr>
          <w:p>
            <w:pPr>
              <w:jc w:val="center"/>
            </w:pPr>
            <w:r>
              <w:t>3686</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4199</w:t>
            </w:r>
          </w:p>
        </w:tc>
        <w:tc>
          <w:tcPr>
            <w:tcW w:type="dxa" w:w="1080"/>
            <w:tcBorders>
              <w:top w:val="single" w:sz="4" w:space="0" w:color="000000"/>
              <w:left w:val="single" w:sz="4" w:space="0" w:color="000000"/>
              <w:bottom w:val="single" w:sz="4" w:space="0" w:color="000000"/>
              <w:right w:val="single" w:sz="4" w:space="0" w:color="000000"/>
            </w:tcBorders>
          </w:tcPr>
          <w:p>
            <w:pPr>
              <w:jc w:val="center"/>
            </w:pPr>
            <w:r>
              <w:t>5058</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4395</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4773</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t>W4</w:t>
            </w:r>
          </w:p>
        </w:tc>
        <w:tc>
          <w:tcPr>
            <w:tcW w:type="dxa" w:w="1080"/>
            <w:tcBorders>
              <w:top w:val="single" w:sz="4" w:space="0" w:color="000000"/>
              <w:left w:val="single" w:sz="4" w:space="0" w:color="000000"/>
              <w:bottom w:val="single" w:sz="4" w:space="0" w:color="000000"/>
              <w:right w:val="single" w:sz="4" w:space="0" w:color="000000"/>
            </w:tcBorders>
          </w:tcPr>
          <w:p>
            <w:pPr>
              <w:jc w:val="center"/>
            </w:pPr>
            <w:r>
              <w:t>3941</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4365</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4997</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4455</w:t>
            </w:r>
          </w:p>
        </w:tc>
        <w:tc>
          <w:tcPr>
            <w:tcW w:type="dxa" w:w="1080"/>
            <w:tcBorders>
              <w:top w:val="single" w:sz="4" w:space="0" w:color="000000"/>
              <w:left w:val="single" w:sz="4" w:space="0" w:color="000000"/>
              <w:bottom w:val="single" w:sz="4" w:space="0" w:color="000000"/>
              <w:right w:val="single" w:sz="4" w:space="0" w:color="000000"/>
            </w:tcBorders>
          </w:tcPr>
          <w:p>
            <w:pPr>
              <w:jc w:val="center"/>
            </w:pPr>
            <w:r>
              <w:t>4442</w:t>
            </w:r>
          </w:p>
        </w:tc>
      </w:tr>
    </w:tbl>
    <w:p/>
    <w:p>
      <w:pPr>
        <w:jc w:val="center"/>
      </w:pPr>
      <w:r>
        <w:drawing>
          <wp:inline xmlns:a="http://schemas.openxmlformats.org/drawingml/2006/main" xmlns:pic="http://schemas.openxmlformats.org/drawingml/2006/picture">
            <wp:extent cx="3017520" cy="2114414"/>
            <wp:docPr id="1" name="Picture 1"/>
            <wp:cNvGraphicFramePr>
              <a:graphicFrameLocks noChangeAspect="1"/>
            </wp:cNvGraphicFramePr>
            <a:graphic>
              <a:graphicData uri="http://schemas.openxmlformats.org/drawingml/2006/picture">
                <pic:pic>
                  <pic:nvPicPr>
                    <pic:cNvPr id="0" name="experiment_d_heatmap_state_integrity_score.png"/>
                    <pic:cNvPicPr/>
                  </pic:nvPicPr>
                  <pic:blipFill>
                    <a:blip r:embed="rId33"/>
                    <a:stretch>
                      <a:fillRect/>
                    </a:stretch>
                  </pic:blipFill>
                  <pic:spPr>
                    <a:xfrm>
                      <a:off x="0" y="0"/>
                      <a:ext cx="3017520" cy="2114414"/>
                    </a:xfrm>
                    <a:prstGeom prst="rect"/>
                  </pic:spPr>
                </pic:pic>
              </a:graphicData>
            </a:graphic>
          </wp:inline>
        </w:drawing>
      </w:r>
    </w:p>
    <w:p>
      <w:pPr>
        <w:pStyle w:val="FigureCaption"/>
        <w:jc w:val="center"/>
      </w:pPr>
      <w:r>
        <w:rPr>
          <w:b/>
        </w:rPr>
        <w:t xml:space="preserve">Fig. 2. </w:t>
      </w:r>
      <w:r>
        <w:t>State integrity heatmap (Experiment D, n=100, stub Cassandra). Yellow = high integrity. R4 column dominates; W1+R4=0.985.</w:t>
      </w:r>
    </w:p>
    <w:p/>
    <w:p>
      <w:pPr>
        <w:jc w:val="center"/>
      </w:pPr>
      <w:r>
        <w:drawing>
          <wp:inline xmlns:a="http://schemas.openxmlformats.org/drawingml/2006/main" xmlns:pic="http://schemas.openxmlformats.org/drawingml/2006/picture">
            <wp:extent cx="3017520" cy="2083077"/>
            <wp:docPr id="2" name="Picture 2"/>
            <wp:cNvGraphicFramePr>
              <a:graphicFrameLocks noChangeAspect="1"/>
            </wp:cNvGraphicFramePr>
            <a:graphic>
              <a:graphicData uri="http://schemas.openxmlformats.org/drawingml/2006/picture">
                <pic:pic>
                  <pic:nvPicPr>
                    <pic:cNvPr id="0" name="experiment_d_heatmap_handoff_latency_ms.png"/>
                    <pic:cNvPicPr/>
                  </pic:nvPicPr>
                  <pic:blipFill>
                    <a:blip r:embed="rId34"/>
                    <a:stretch>
                      <a:fillRect/>
                    </a:stretch>
                  </pic:blipFill>
                  <pic:spPr>
                    <a:xfrm>
                      <a:off x="0" y="0"/>
                      <a:ext cx="3017520" cy="2083077"/>
                    </a:xfrm>
                    <a:prstGeom prst="rect"/>
                  </pic:spPr>
                </pic:pic>
              </a:graphicData>
            </a:graphic>
          </wp:inline>
        </w:drawing>
      </w:r>
    </w:p>
    <w:p>
      <w:pPr>
        <w:pStyle w:val="FigureCaption"/>
        <w:jc w:val="center"/>
      </w:pPr>
      <w:r>
        <w:rPr>
          <w:b/>
        </w:rPr>
        <w:t xml:space="preserve">Fig. 3. </w:t>
      </w:r>
      <w:r>
        <w:t>Handoff latency p50 heatmap (Experiment D, n=100). R2 column is consistently slowest due to summarization overhead.</w:t>
      </w:r>
    </w:p>
    <w:p/>
    <w:p>
      <w:pPr>
        <w:pStyle w:val="TableTitle"/>
        <w:jc w:val="center"/>
      </w:pPr>
      <w:r>
        <w:rPr>
          <w:b/>
        </w:rPr>
        <w:t>TABLE VII</w:t>
      </w:r>
    </w:p>
    <w:p>
      <w:pPr>
        <w:pStyle w:val="TableTitle"/>
        <w:jc w:val="center"/>
      </w:pPr>
      <w:r>
        <w:t>Wilcoxon Signed-Rank Test Summary (baseline = W0+R0, Holm-Bonferroni corrected)</w:t>
      </w:r>
    </w:p>
    <w:tbl>
      <w:tblPr>
        <w:tblW w:type="auto" w:w="0"/>
        <w:jc w:val="center"/>
        <w:tblLook w:firstColumn="1" w:firstRow="1" w:lastColumn="0" w:lastRow="0" w:noHBand="0" w:noVBand="1" w:val="04A0"/>
      </w:tblPr>
      <w:tblGrid>
        <w:gridCol w:w="2592"/>
        <w:gridCol w:w="2592"/>
        <w:gridCol w:w="2592"/>
        <w:gridCol w:w="2592"/>
      </w:tblGrid>
      <w:tr>
        <w:tc>
          <w:tcPr>
            <w:tcW w:type="dxa" w:w="1008"/>
            <w:tcBorders>
              <w:top w:val="single" w:sz="4" w:space="0" w:color="000000"/>
              <w:left w:val="single" w:sz="4" w:space="0" w:color="000000"/>
              <w:bottom w:val="single" w:sz="4" w:space="0" w:color="000000"/>
              <w:right w:val="single" w:sz="4" w:space="0" w:color="000000"/>
            </w:tcBorders>
          </w:tcPr>
          <w:p>
            <w:pPr>
              <w:jc w:val="center"/>
            </w:pPr>
            <w:r>
              <w:rPr>
                <w:b/>
              </w:rPr>
              <w:t>Experiment</w:t>
            </w:r>
          </w:p>
        </w:tc>
        <w:tc>
          <w:tcPr>
            <w:tcW w:type="dxa" w:w="1872"/>
            <w:tcBorders>
              <w:top w:val="single" w:sz="4" w:space="0" w:color="000000"/>
              <w:left w:val="single" w:sz="4" w:space="0" w:color="000000"/>
              <w:bottom w:val="single" w:sz="4" w:space="0" w:color="000000"/>
              <w:right w:val="single" w:sz="4" w:space="0" w:color="000000"/>
            </w:tcBorders>
          </w:tcPr>
          <w:p>
            <w:pPr>
              <w:jc w:val="center"/>
            </w:pPr>
            <w:r>
              <w:rPr>
                <w:b/>
              </w:rPr>
              <w:t>Metric</w:t>
            </w:r>
          </w:p>
        </w:tc>
        <w:tc>
          <w:tcPr>
            <w:tcW w:type="dxa" w:w="1008"/>
            <w:tcBorders>
              <w:top w:val="single" w:sz="4" w:space="0" w:color="000000"/>
              <w:left w:val="single" w:sz="4" w:space="0" w:color="000000"/>
              <w:bottom w:val="single" w:sz="4" w:space="0" w:color="000000"/>
              <w:right w:val="single" w:sz="4" w:space="0" w:color="000000"/>
            </w:tcBorders>
          </w:tcPr>
          <w:p>
            <w:pPr>
              <w:jc w:val="center"/>
            </w:pPr>
            <w:r>
              <w:rPr>
                <w:b/>
              </w:rPr>
              <w:t>Significant</w:t>
            </w:r>
          </w:p>
        </w:tc>
        <w:tc>
          <w:tcPr>
            <w:tcW w:type="dxa" w:w="2160"/>
            <w:tcBorders>
              <w:top w:val="single" w:sz="4" w:space="0" w:color="000000"/>
              <w:left w:val="single" w:sz="4" w:space="0" w:color="000000"/>
              <w:bottom w:val="single" w:sz="4" w:space="0" w:color="000000"/>
              <w:right w:val="single" w:sz="4" w:space="0" w:color="000000"/>
            </w:tcBorders>
          </w:tcPr>
          <w:p>
            <w:pPr>
              <w:jc w:val="center"/>
            </w:pPr>
            <w:r>
              <w:rPr>
                <w:b/>
              </w:rPr>
              <w:t>Key Finding</w:t>
            </w:r>
          </w:p>
        </w:tc>
      </w:tr>
      <w:tr>
        <w:tc>
          <w:tcPr>
            <w:tcW w:type="dxa" w:w="1008"/>
            <w:tcBorders>
              <w:top w:val="single" w:sz="4" w:space="0" w:color="000000"/>
              <w:left w:val="single" w:sz="4" w:space="0" w:color="000000"/>
              <w:bottom w:val="single" w:sz="4" w:space="0" w:color="000000"/>
              <w:right w:val="single" w:sz="4" w:space="0" w:color="000000"/>
            </w:tcBorders>
          </w:tcPr>
          <w:p>
            <w:pPr>
              <w:jc w:val="center"/>
            </w:pPr>
            <w:r>
              <w:t>A (write)</w:t>
            </w:r>
          </w:p>
        </w:tc>
        <w:tc>
          <w:tcPr>
            <w:tcW w:type="dxa" w:w="1872"/>
            <w:tcBorders>
              <w:top w:val="single" w:sz="4" w:space="0" w:color="000000"/>
              <w:left w:val="single" w:sz="4" w:space="0" w:color="000000"/>
              <w:bottom w:val="single" w:sz="4" w:space="0" w:color="000000"/>
              <w:right w:val="single" w:sz="4" w:space="0" w:color="000000"/>
            </w:tcBorders>
          </w:tcPr>
          <w:p>
            <w:pPr>
              <w:jc w:val="center"/>
            </w:pPr>
            <w:r>
              <w:t>write_latency_ms</w:t>
            </w:r>
          </w:p>
        </w:tc>
        <w:tc>
          <w:tcPr>
            <w:tcW w:type="dxa" w:w="1008"/>
            <w:tcBorders>
              <w:top w:val="single" w:sz="4" w:space="0" w:color="000000"/>
              <w:left w:val="single" w:sz="4" w:space="0" w:color="000000"/>
              <w:bottom w:val="single" w:sz="4" w:space="0" w:color="000000"/>
              <w:right w:val="single" w:sz="4" w:space="0" w:color="000000"/>
            </w:tcBorders>
          </w:tcPr>
          <w:p>
            <w:pPr>
              <w:jc w:val="center"/>
            </w:pPr>
            <w:r>
              <w:t>0/4</w:t>
            </w:r>
          </w:p>
        </w:tc>
        <w:tc>
          <w:tcPr>
            <w:tcW w:type="dxa" w:w="2160"/>
            <w:tcBorders>
              <w:top w:val="single" w:sz="4" w:space="0" w:color="000000"/>
              <w:left w:val="single" w:sz="4" w:space="0" w:color="000000"/>
              <w:bottom w:val="single" w:sz="4" w:space="0" w:color="000000"/>
              <w:right w:val="single" w:sz="4" w:space="0" w:color="000000"/>
            </w:tcBorders>
          </w:tcPr>
          <w:p>
            <w:pPr>
              <w:jc w:val="center"/>
            </w:pPr>
            <w:r>
              <w:t>All write engines indistinguishable</w:t>
            </w:r>
          </w:p>
        </w:tc>
      </w:tr>
      <w:tr>
        <w:tc>
          <w:tcPr>
            <w:tcW w:type="dxa" w:w="1008"/>
            <w:tcBorders>
              <w:top w:val="single" w:sz="4" w:space="0" w:color="000000"/>
              <w:left w:val="single" w:sz="4" w:space="0" w:color="000000"/>
              <w:bottom w:val="single" w:sz="4" w:space="0" w:color="000000"/>
              <w:right w:val="single" w:sz="4" w:space="0" w:color="000000"/>
            </w:tcBorders>
          </w:tcPr>
          <w:p>
            <w:pPr>
              <w:jc w:val="center"/>
            </w:pPr>
            <w:r>
              <w:t>A (write)</w:t>
            </w:r>
          </w:p>
        </w:tc>
        <w:tc>
          <w:tcPr>
            <w:tcW w:type="dxa" w:w="1872"/>
            <w:tcBorders>
              <w:top w:val="single" w:sz="4" w:space="0" w:color="000000"/>
              <w:left w:val="single" w:sz="4" w:space="0" w:color="000000"/>
              <w:bottom w:val="single" w:sz="4" w:space="0" w:color="000000"/>
              <w:right w:val="single" w:sz="4" w:space="0" w:color="000000"/>
            </w:tcBorders>
          </w:tcPr>
          <w:p>
            <w:pPr>
              <w:jc w:val="center"/>
            </w:pPr>
            <w:r>
              <w:t>flush_latency_ms</w:t>
            </w:r>
          </w:p>
        </w:tc>
        <w:tc>
          <w:tcPr>
            <w:tcW w:type="dxa" w:w="1008"/>
            <w:tcBorders>
              <w:top w:val="single" w:sz="4" w:space="0" w:color="000000"/>
              <w:left w:val="single" w:sz="4" w:space="0" w:color="000000"/>
              <w:bottom w:val="single" w:sz="4" w:space="0" w:color="000000"/>
              <w:right w:val="single" w:sz="4" w:space="0" w:color="000000"/>
            </w:tcBorders>
          </w:tcPr>
          <w:p>
            <w:pPr>
              <w:jc w:val="center"/>
            </w:pPr>
            <w:r>
              <w:t>0/4</w:t>
            </w:r>
          </w:p>
        </w:tc>
        <w:tc>
          <w:tcPr>
            <w:tcW w:type="dxa" w:w="2160"/>
            <w:tcBorders>
              <w:top w:val="single" w:sz="4" w:space="0" w:color="000000"/>
              <w:left w:val="single" w:sz="4" w:space="0" w:color="000000"/>
              <w:bottom w:val="single" w:sz="4" w:space="0" w:color="000000"/>
              <w:right w:val="single" w:sz="4" w:space="0" w:color="000000"/>
            </w:tcBorders>
          </w:tcPr>
          <w:p>
            <w:pPr>
              <w:jc w:val="center"/>
            </w:pPr>
            <w:r>
              <w:t>All write engines indistinguishable</w:t>
            </w:r>
          </w:p>
        </w:tc>
      </w:tr>
      <w:tr>
        <w:tc>
          <w:tcPr>
            <w:tcW w:type="dxa" w:w="1008"/>
            <w:tcBorders>
              <w:top w:val="single" w:sz="4" w:space="0" w:color="000000"/>
              <w:left w:val="single" w:sz="4" w:space="0" w:color="000000"/>
              <w:bottom w:val="single" w:sz="4" w:space="0" w:color="000000"/>
              <w:right w:val="single" w:sz="4" w:space="0" w:color="000000"/>
            </w:tcBorders>
          </w:tcPr>
          <w:p>
            <w:pPr>
              <w:jc w:val="center"/>
            </w:pPr>
            <w:r>
              <w:t>B (read)</w:t>
            </w:r>
          </w:p>
        </w:tc>
        <w:tc>
          <w:tcPr>
            <w:tcW w:type="dxa" w:w="1872"/>
            <w:tcBorders>
              <w:top w:val="single" w:sz="4" w:space="0" w:color="000000"/>
              <w:left w:val="single" w:sz="4" w:space="0" w:color="000000"/>
              <w:bottom w:val="single" w:sz="4" w:space="0" w:color="000000"/>
              <w:right w:val="single" w:sz="4" w:space="0" w:color="000000"/>
            </w:tcBorders>
          </w:tcPr>
          <w:p>
            <w:pPr>
              <w:jc w:val="center"/>
            </w:pPr>
            <w:r>
              <w:t>context_token_count</w:t>
            </w:r>
          </w:p>
        </w:tc>
        <w:tc>
          <w:tcPr>
            <w:tcW w:type="dxa" w:w="1008"/>
            <w:tcBorders>
              <w:top w:val="single" w:sz="4" w:space="0" w:color="000000"/>
              <w:left w:val="single" w:sz="4" w:space="0" w:color="000000"/>
              <w:bottom w:val="single" w:sz="4" w:space="0" w:color="000000"/>
              <w:right w:val="single" w:sz="4" w:space="0" w:color="000000"/>
            </w:tcBorders>
          </w:tcPr>
          <w:p>
            <w:pPr>
              <w:jc w:val="center"/>
            </w:pPr>
            <w:r>
              <w:t>4/4</w:t>
            </w:r>
          </w:p>
        </w:tc>
        <w:tc>
          <w:tcPr>
            <w:tcW w:type="dxa" w:w="2160"/>
            <w:tcBorders>
              <w:top w:val="single" w:sz="4" w:space="0" w:color="000000"/>
              <w:left w:val="single" w:sz="4" w:space="0" w:color="000000"/>
              <w:bottom w:val="single" w:sz="4" w:space="0" w:color="000000"/>
              <w:right w:val="single" w:sz="4" w:space="0" w:color="000000"/>
            </w:tcBorders>
          </w:tcPr>
          <w:p>
            <w:pPr>
              <w:jc w:val="center"/>
            </w:pPr>
            <w:r>
              <w:t>All read strategies cut tokens (p&lt;0.0001)</w:t>
            </w:r>
          </w:p>
        </w:tc>
      </w:tr>
      <w:tr>
        <w:tc>
          <w:tcPr>
            <w:tcW w:type="dxa" w:w="1008"/>
            <w:tcBorders>
              <w:top w:val="single" w:sz="4" w:space="0" w:color="000000"/>
              <w:left w:val="single" w:sz="4" w:space="0" w:color="000000"/>
              <w:bottom w:val="single" w:sz="4" w:space="0" w:color="000000"/>
              <w:right w:val="single" w:sz="4" w:space="0" w:color="000000"/>
            </w:tcBorders>
          </w:tcPr>
          <w:p>
            <w:pPr>
              <w:jc w:val="center"/>
            </w:pPr>
            <w:r>
              <w:t>B (read)</w:t>
            </w:r>
          </w:p>
        </w:tc>
        <w:tc>
          <w:tcPr>
            <w:tcW w:type="dxa" w:w="1872"/>
            <w:tcBorders>
              <w:top w:val="single" w:sz="4" w:space="0" w:color="000000"/>
              <w:left w:val="single" w:sz="4" w:space="0" w:color="000000"/>
              <w:bottom w:val="single" w:sz="4" w:space="0" w:color="000000"/>
              <w:right w:val="single" w:sz="4" w:space="0" w:color="000000"/>
            </w:tcBorders>
          </w:tcPr>
          <w:p>
            <w:pPr>
              <w:jc w:val="center"/>
            </w:pPr>
            <w:r>
              <w:t>estimated_cost_usd</w:t>
            </w:r>
          </w:p>
        </w:tc>
        <w:tc>
          <w:tcPr>
            <w:tcW w:type="dxa" w:w="1008"/>
            <w:tcBorders>
              <w:top w:val="single" w:sz="4" w:space="0" w:color="000000"/>
              <w:left w:val="single" w:sz="4" w:space="0" w:color="000000"/>
              <w:bottom w:val="single" w:sz="4" w:space="0" w:color="000000"/>
              <w:right w:val="single" w:sz="4" w:space="0" w:color="000000"/>
            </w:tcBorders>
          </w:tcPr>
          <w:p>
            <w:pPr>
              <w:jc w:val="center"/>
            </w:pPr>
            <w:r>
              <w:t>1/4</w:t>
            </w:r>
          </w:p>
        </w:tc>
        <w:tc>
          <w:tcPr>
            <w:tcW w:type="dxa" w:w="2160"/>
            <w:tcBorders>
              <w:top w:val="single" w:sz="4" w:space="0" w:color="000000"/>
              <w:left w:val="single" w:sz="4" w:space="0" w:color="000000"/>
              <w:bottom w:val="single" w:sz="4" w:space="0" w:color="000000"/>
              <w:right w:val="single" w:sz="4" w:space="0" w:color="000000"/>
            </w:tcBorders>
          </w:tcPr>
          <w:p>
            <w:pPr>
              <w:jc w:val="center"/>
            </w:pPr>
            <w:r>
              <w:t>Only R1 cuts cost significantly</w:t>
            </w:r>
          </w:p>
        </w:tc>
      </w:tr>
      <w:tr>
        <w:tc>
          <w:tcPr>
            <w:tcW w:type="dxa" w:w="1008"/>
            <w:tcBorders>
              <w:top w:val="single" w:sz="4" w:space="0" w:color="000000"/>
              <w:left w:val="single" w:sz="4" w:space="0" w:color="000000"/>
              <w:bottom w:val="single" w:sz="4" w:space="0" w:color="000000"/>
              <w:right w:val="single" w:sz="4" w:space="0" w:color="000000"/>
            </w:tcBorders>
          </w:tcPr>
          <w:p>
            <w:pPr>
              <w:jc w:val="center"/>
            </w:pPr>
            <w:r>
              <w:t>B (read)</w:t>
            </w:r>
          </w:p>
        </w:tc>
        <w:tc>
          <w:tcPr>
            <w:tcW w:type="dxa" w:w="1872"/>
            <w:tcBorders>
              <w:top w:val="single" w:sz="4" w:space="0" w:color="000000"/>
              <w:left w:val="single" w:sz="4" w:space="0" w:color="000000"/>
              <w:bottom w:val="single" w:sz="4" w:space="0" w:color="000000"/>
              <w:right w:val="single" w:sz="4" w:space="0" w:color="000000"/>
            </w:tcBorders>
          </w:tcPr>
          <w:p>
            <w:pPr>
              <w:jc w:val="center"/>
            </w:pPr>
            <w:r>
              <w:t>handoff_latency_ms</w:t>
            </w:r>
          </w:p>
        </w:tc>
        <w:tc>
          <w:tcPr>
            <w:tcW w:type="dxa" w:w="1008"/>
            <w:tcBorders>
              <w:top w:val="single" w:sz="4" w:space="0" w:color="000000"/>
              <w:left w:val="single" w:sz="4" w:space="0" w:color="000000"/>
              <w:bottom w:val="single" w:sz="4" w:space="0" w:color="000000"/>
              <w:right w:val="single" w:sz="4" w:space="0" w:color="000000"/>
            </w:tcBorders>
          </w:tcPr>
          <w:p>
            <w:pPr>
              <w:jc w:val="center"/>
            </w:pPr>
            <w:r>
              <w:t>0/4</w:t>
            </w:r>
          </w:p>
        </w:tc>
        <w:tc>
          <w:tcPr>
            <w:tcW w:type="dxa" w:w="2160"/>
            <w:tcBorders>
              <w:top w:val="single" w:sz="4" w:space="0" w:color="000000"/>
              <w:left w:val="single" w:sz="4" w:space="0" w:color="000000"/>
              <w:bottom w:val="single" w:sz="4" w:space="0" w:color="000000"/>
              <w:right w:val="single" w:sz="4" w:space="0" w:color="000000"/>
            </w:tcBorders>
          </w:tcPr>
          <w:p>
            <w:pPr>
              <w:jc w:val="center"/>
            </w:pPr>
            <w:r>
              <w:t>No latency significance</w:t>
            </w:r>
          </w:p>
        </w:tc>
      </w:tr>
      <w:tr>
        <w:tc>
          <w:tcPr>
            <w:tcW w:type="dxa" w:w="1008"/>
            <w:tcBorders>
              <w:top w:val="single" w:sz="4" w:space="0" w:color="000000"/>
              <w:left w:val="single" w:sz="4" w:space="0" w:color="000000"/>
              <w:bottom w:val="single" w:sz="4" w:space="0" w:color="000000"/>
              <w:right w:val="single" w:sz="4" w:space="0" w:color="000000"/>
            </w:tcBorders>
          </w:tcPr>
          <w:p>
            <w:pPr>
              <w:jc w:val="center"/>
            </w:pPr>
            <w:r>
              <w:t>D (surface)</w:t>
            </w:r>
          </w:p>
        </w:tc>
        <w:tc>
          <w:tcPr>
            <w:tcW w:type="dxa" w:w="1872"/>
            <w:tcBorders>
              <w:top w:val="single" w:sz="4" w:space="0" w:color="000000"/>
              <w:left w:val="single" w:sz="4" w:space="0" w:color="000000"/>
              <w:bottom w:val="single" w:sz="4" w:space="0" w:color="000000"/>
              <w:right w:val="single" w:sz="4" w:space="0" w:color="000000"/>
            </w:tcBorders>
          </w:tcPr>
          <w:p>
            <w:pPr>
              <w:jc w:val="center"/>
            </w:pPr>
            <w:r>
              <w:t>state_integrity_score</w:t>
            </w:r>
          </w:p>
        </w:tc>
        <w:tc>
          <w:tcPr>
            <w:tcW w:type="dxa" w:w="1008"/>
            <w:tcBorders>
              <w:top w:val="single" w:sz="4" w:space="0" w:color="000000"/>
              <w:left w:val="single" w:sz="4" w:space="0" w:color="000000"/>
              <w:bottom w:val="single" w:sz="4" w:space="0" w:color="000000"/>
              <w:right w:val="single" w:sz="4" w:space="0" w:color="000000"/>
            </w:tcBorders>
          </w:tcPr>
          <w:p>
            <w:pPr>
              <w:jc w:val="center"/>
            </w:pPr>
            <w:r>
              <w:t>0/24</w:t>
            </w:r>
          </w:p>
        </w:tc>
        <w:tc>
          <w:tcPr>
            <w:tcW w:type="dxa" w:w="2160"/>
            <w:tcBorders>
              <w:top w:val="single" w:sz="4" w:space="0" w:color="000000"/>
              <w:left w:val="single" w:sz="4" w:space="0" w:color="000000"/>
              <w:bottom w:val="single" w:sz="4" w:space="0" w:color="000000"/>
              <w:right w:val="single" w:sz="4" w:space="0" w:color="000000"/>
            </w:tcBorders>
          </w:tcPr>
          <w:p>
            <w:pPr>
              <w:jc w:val="center"/>
            </w:pPr>
            <w:r>
              <w:t>Read tier dominates; pairwise overlaps</w:t>
            </w:r>
          </w:p>
        </w:tc>
      </w:tr>
      <w:tr>
        <w:tc>
          <w:tcPr>
            <w:tcW w:type="dxa" w:w="1008"/>
            <w:tcBorders>
              <w:top w:val="single" w:sz="4" w:space="0" w:color="000000"/>
              <w:left w:val="single" w:sz="4" w:space="0" w:color="000000"/>
              <w:bottom w:val="single" w:sz="4" w:space="0" w:color="000000"/>
              <w:right w:val="single" w:sz="4" w:space="0" w:color="000000"/>
            </w:tcBorders>
          </w:tcPr>
          <w:p>
            <w:pPr>
              <w:jc w:val="center"/>
            </w:pPr>
            <w:r>
              <w:t>D (surface)</w:t>
            </w:r>
          </w:p>
        </w:tc>
        <w:tc>
          <w:tcPr>
            <w:tcW w:type="dxa" w:w="1872"/>
            <w:tcBorders>
              <w:top w:val="single" w:sz="4" w:space="0" w:color="000000"/>
              <w:left w:val="single" w:sz="4" w:space="0" w:color="000000"/>
              <w:bottom w:val="single" w:sz="4" w:space="0" w:color="000000"/>
              <w:right w:val="single" w:sz="4" w:space="0" w:color="000000"/>
            </w:tcBorders>
          </w:tcPr>
          <w:p>
            <w:pPr>
              <w:jc w:val="center"/>
            </w:pPr>
            <w:r>
              <w:t>handoff_latency_ms</w:t>
            </w:r>
          </w:p>
        </w:tc>
        <w:tc>
          <w:tcPr>
            <w:tcW w:type="dxa" w:w="1008"/>
            <w:tcBorders>
              <w:top w:val="single" w:sz="4" w:space="0" w:color="000000"/>
              <w:left w:val="single" w:sz="4" w:space="0" w:color="000000"/>
              <w:bottom w:val="single" w:sz="4" w:space="0" w:color="000000"/>
              <w:right w:val="single" w:sz="4" w:space="0" w:color="000000"/>
            </w:tcBorders>
          </w:tcPr>
          <w:p>
            <w:pPr>
              <w:jc w:val="center"/>
            </w:pPr>
            <w:r>
              <w:t>1/24</w:t>
            </w:r>
          </w:p>
        </w:tc>
        <w:tc>
          <w:tcPr>
            <w:tcW w:type="dxa" w:w="2160"/>
            <w:tcBorders>
              <w:top w:val="single" w:sz="4" w:space="0" w:color="000000"/>
              <w:left w:val="single" w:sz="4" w:space="0" w:color="000000"/>
              <w:bottom w:val="single" w:sz="4" w:space="0" w:color="000000"/>
              <w:right w:val="single" w:sz="4" w:space="0" w:color="000000"/>
            </w:tcBorders>
          </w:tcPr>
          <w:p>
            <w:pPr>
              <w:jc w:val="center"/>
            </w:pPr>
            <w:r>
              <w:t>W3+R0 vs W0+R0 (p=0.006)</w:t>
            </w:r>
          </w:p>
        </w:tc>
      </w:tr>
    </w:tbl>
    <w:p/>
    <w:p>
      <w:pPr>
        <w:pStyle w:val="Heading2"/>
      </w:pPr>
      <w:r>
        <w:t>D. Experiment D*: R3 Column with Real Cassandra (RUN-007)</w:t>
      </w:r>
    </w:p>
    <w:p>
      <w:pPr>
        <w:pStyle w:val="PARAIndent"/>
      </w:pPr>
      <w:r>
        <w:t>RUN-007 (n=30, real Apache Cassandra 4.1, R3 column only) reveals write-engine sensitivity invisible in stub mode: all write engines except W4 degrade when real Cassandra is used, with W0 showing the largest penalty.</w:t>
      </w:r>
    </w:p>
    <w:p>
      <w:pPr>
        <w:pStyle w:val="TableTitle"/>
        <w:jc w:val="center"/>
      </w:pPr>
      <w:r>
        <w:rPr>
          <w:b/>
        </w:rPr>
        <w:t>TABLE VIII</w:t>
      </w:r>
    </w:p>
    <w:p>
      <w:pPr>
        <w:pStyle w:val="TableTitle"/>
        <w:jc w:val="center"/>
      </w:pPr>
      <w:r>
        <w:t>RUN-007: R3 Column — Real Cassandra vs Stub (n=30)</w:t>
      </w:r>
    </w:p>
    <w:tbl>
      <w:tblPr>
        <w:tblW w:type="auto" w:w="0"/>
        <w:jc w:val="center"/>
        <w:tblLook w:firstColumn="1" w:firstRow="1" w:lastColumn="0" w:lastRow="0" w:noHBand="0" w:noVBand="1" w:val="04A0"/>
      </w:tblPr>
      <w:tblGrid>
        <w:gridCol w:w="2074"/>
        <w:gridCol w:w="2074"/>
        <w:gridCol w:w="2074"/>
        <w:gridCol w:w="2074"/>
        <w:gridCol w:w="2074"/>
      </w:tblGrid>
      <w:tr>
        <w:tc>
          <w:tcPr>
            <w:tcW w:type="dxa" w:w="1080"/>
            <w:tcBorders>
              <w:top w:val="single" w:sz="4" w:space="0" w:color="000000"/>
              <w:left w:val="single" w:sz="4" w:space="0" w:color="000000"/>
              <w:bottom w:val="single" w:sz="4" w:space="0" w:color="000000"/>
              <w:right w:val="single" w:sz="4" w:space="0" w:color="000000"/>
            </w:tcBorders>
          </w:tcPr>
          <w:p>
            <w:pPr>
              <w:jc w:val="center"/>
            </w:pPr>
            <w:r>
              <w:rPr>
                <w:b/>
              </w:rPr>
              <w:t>Write</w:t>
            </w:r>
          </w:p>
        </w:tc>
        <w:tc>
          <w:tcPr>
            <w:tcW w:type="dxa" w:w="1584"/>
            <w:tcBorders>
              <w:top w:val="single" w:sz="4" w:space="0" w:color="000000"/>
              <w:left w:val="single" w:sz="4" w:space="0" w:color="000000"/>
              <w:bottom w:val="single" w:sz="4" w:space="0" w:color="000000"/>
              <w:right w:val="single" w:sz="4" w:space="0" w:color="000000"/>
            </w:tcBorders>
          </w:tcPr>
          <w:p>
            <w:pPr>
              <w:jc w:val="center"/>
            </w:pPr>
            <w:r>
              <w:rPr>
                <w:b/>
              </w:rPr>
              <w:t>Integrity (real)</w:t>
            </w:r>
          </w:p>
        </w:tc>
        <w:tc>
          <w:tcPr>
            <w:tcW w:type="dxa" w:w="1080"/>
            <w:tcBorders>
              <w:top w:val="single" w:sz="4" w:space="0" w:color="000000"/>
              <w:left w:val="single" w:sz="4" w:space="0" w:color="000000"/>
              <w:bottom w:val="single" w:sz="4" w:space="0" w:color="000000"/>
              <w:right w:val="single" w:sz="4" w:space="0" w:color="000000"/>
            </w:tcBorders>
          </w:tcPr>
          <w:p>
            <w:pPr>
              <w:jc w:val="center"/>
            </w:pPr>
            <w:r>
              <w:rPr>
                <w:b/>
              </w:rPr>
              <w:t>Δ vs stub</w:t>
            </w:r>
          </w:p>
        </w:tc>
        <w:tc>
          <w:tcPr>
            <w:tcW w:type="dxa" w:w="1080"/>
            <w:tcBorders>
              <w:top w:val="single" w:sz="4" w:space="0" w:color="000000"/>
              <w:left w:val="single" w:sz="4" w:space="0" w:color="000000"/>
              <w:bottom w:val="single" w:sz="4" w:space="0" w:color="000000"/>
              <w:right w:val="single" w:sz="4" w:space="0" w:color="000000"/>
            </w:tcBorders>
          </w:tcPr>
          <w:p>
            <w:pPr>
              <w:jc w:val="center"/>
            </w:pPr>
            <w:r>
              <w:rPr>
                <w:b/>
              </w:rPr>
              <w:t>Fidelity</w:t>
            </w:r>
          </w:p>
        </w:tc>
        <w:tc>
          <w:tcPr>
            <w:tcW w:type="dxa" w:w="1224"/>
            <w:tcBorders>
              <w:top w:val="single" w:sz="4" w:space="0" w:color="000000"/>
              <w:left w:val="single" w:sz="4" w:space="0" w:color="000000"/>
              <w:bottom w:val="single" w:sz="4" w:space="0" w:color="000000"/>
              <w:right w:val="single" w:sz="4" w:space="0" w:color="000000"/>
            </w:tcBorders>
          </w:tcPr>
          <w:p>
            <w:pPr>
              <w:jc w:val="center"/>
            </w:pPr>
            <w:r>
              <w:rPr>
                <w:b/>
              </w:rPr>
              <w:t>Handoff Δ</w:t>
            </w:r>
          </w:p>
        </w:tc>
      </w:tr>
      <w:tr>
        <w:tc>
          <w:tcPr>
            <w:tcW w:type="dxa" w:w="1080"/>
            <w:tcBorders>
              <w:top w:val="single" w:sz="4" w:space="0" w:color="000000"/>
              <w:left w:val="single" w:sz="4" w:space="0" w:color="000000"/>
              <w:bottom w:val="single" w:sz="4" w:space="0" w:color="000000"/>
              <w:right w:val="single" w:sz="4" w:space="0" w:color="000000"/>
            </w:tcBorders>
          </w:tcPr>
          <w:p>
            <w:pPr>
              <w:jc w:val="center"/>
            </w:pPr>
            <w:r>
              <w:t>W0</w:t>
            </w:r>
          </w:p>
        </w:tc>
        <w:tc>
          <w:tcPr>
            <w:tcW w:type="dxa" w:w="1584"/>
            <w:tcBorders>
              <w:top w:val="single" w:sz="4" w:space="0" w:color="000000"/>
              <w:left w:val="single" w:sz="4" w:space="0" w:color="000000"/>
              <w:bottom w:val="single" w:sz="4" w:space="0" w:color="000000"/>
              <w:right w:val="single" w:sz="4" w:space="0" w:color="000000"/>
            </w:tcBorders>
          </w:tcPr>
          <w:p>
            <w:pPr>
              <w:jc w:val="center"/>
            </w:pPr>
            <w:r>
              <w:t>0.858±0.247</w:t>
            </w:r>
          </w:p>
        </w:tc>
        <w:tc>
          <w:tcPr>
            <w:tcW w:type="dxa" w:w="1080"/>
            <w:tcBorders>
              <w:top w:val="single" w:sz="4" w:space="0" w:color="000000"/>
              <w:left w:val="single" w:sz="4" w:space="0" w:color="000000"/>
              <w:bottom w:val="single" w:sz="4" w:space="0" w:color="000000"/>
              <w:right w:val="single" w:sz="4" w:space="0" w:color="000000"/>
            </w:tcBorders>
          </w:tcPr>
          <w:p>
            <w:pPr>
              <w:jc w:val="center"/>
            </w:pPr>
            <w:r>
              <w:t>-0.072</w:t>
            </w:r>
          </w:p>
        </w:tc>
        <w:tc>
          <w:tcPr>
            <w:tcW w:type="dxa" w:w="1080"/>
            <w:tcBorders>
              <w:top w:val="single" w:sz="4" w:space="0" w:color="000000"/>
              <w:left w:val="single" w:sz="4" w:space="0" w:color="000000"/>
              <w:bottom w:val="single" w:sz="4" w:space="0" w:color="000000"/>
              <w:right w:val="single" w:sz="4" w:space="0" w:color="000000"/>
            </w:tcBorders>
          </w:tcPr>
          <w:p>
            <w:pPr>
              <w:jc w:val="center"/>
            </w:pPr>
            <w:r>
              <w:t>0.646</w:t>
            </w:r>
          </w:p>
        </w:tc>
        <w:tc>
          <w:tcPr>
            <w:tcW w:type="dxa" w:w="1224"/>
            <w:tcBorders>
              <w:top w:val="single" w:sz="4" w:space="0" w:color="000000"/>
              <w:left w:val="single" w:sz="4" w:space="0" w:color="000000"/>
              <w:bottom w:val="single" w:sz="4" w:space="0" w:color="000000"/>
              <w:right w:val="single" w:sz="4" w:space="0" w:color="000000"/>
            </w:tcBorders>
          </w:tcPr>
          <w:p>
            <w:pPr>
              <w:jc w:val="center"/>
            </w:pPr>
            <w:r>
              <w:t>+1,595 ms</w:t>
            </w:r>
          </w:p>
        </w:tc>
      </w:tr>
      <w:tr>
        <w:tc>
          <w:tcPr>
            <w:tcW w:type="dxa" w:w="1080"/>
            <w:tcBorders>
              <w:top w:val="single" w:sz="4" w:space="0" w:color="000000"/>
              <w:left w:val="single" w:sz="4" w:space="0" w:color="000000"/>
              <w:bottom w:val="single" w:sz="4" w:space="0" w:color="000000"/>
              <w:right w:val="single" w:sz="4" w:space="0" w:color="000000"/>
            </w:tcBorders>
          </w:tcPr>
          <w:p>
            <w:pPr>
              <w:jc w:val="center"/>
            </w:pPr>
            <w:r>
              <w:t>W1</w:t>
            </w:r>
          </w:p>
        </w:tc>
        <w:tc>
          <w:tcPr>
            <w:tcW w:type="dxa" w:w="1584"/>
            <w:tcBorders>
              <w:top w:val="single" w:sz="4" w:space="0" w:color="000000"/>
              <w:left w:val="single" w:sz="4" w:space="0" w:color="000000"/>
              <w:bottom w:val="single" w:sz="4" w:space="0" w:color="000000"/>
              <w:right w:val="single" w:sz="4" w:space="0" w:color="000000"/>
            </w:tcBorders>
          </w:tcPr>
          <w:p>
            <w:pPr>
              <w:jc w:val="center"/>
            </w:pPr>
            <w:r>
              <w:t>0.892±0.201</w:t>
            </w:r>
          </w:p>
        </w:tc>
        <w:tc>
          <w:tcPr>
            <w:tcW w:type="dxa" w:w="1080"/>
            <w:tcBorders>
              <w:top w:val="single" w:sz="4" w:space="0" w:color="000000"/>
              <w:left w:val="single" w:sz="4" w:space="0" w:color="000000"/>
              <w:bottom w:val="single" w:sz="4" w:space="0" w:color="000000"/>
              <w:right w:val="single" w:sz="4" w:space="0" w:color="000000"/>
            </w:tcBorders>
          </w:tcPr>
          <w:p>
            <w:pPr>
              <w:jc w:val="center"/>
            </w:pPr>
            <w:r>
              <w:t>-0.041</w:t>
            </w:r>
          </w:p>
        </w:tc>
        <w:tc>
          <w:tcPr>
            <w:tcW w:type="dxa" w:w="1080"/>
            <w:tcBorders>
              <w:top w:val="single" w:sz="4" w:space="0" w:color="000000"/>
              <w:left w:val="single" w:sz="4" w:space="0" w:color="000000"/>
              <w:bottom w:val="single" w:sz="4" w:space="0" w:color="000000"/>
              <w:right w:val="single" w:sz="4" w:space="0" w:color="000000"/>
            </w:tcBorders>
          </w:tcPr>
          <w:p>
            <w:pPr>
              <w:jc w:val="center"/>
            </w:pPr>
            <w:r>
              <w:t>0.703</w:t>
            </w:r>
          </w:p>
        </w:tc>
        <w:tc>
          <w:tcPr>
            <w:tcW w:type="dxa" w:w="1224"/>
            <w:tcBorders>
              <w:top w:val="single" w:sz="4" w:space="0" w:color="000000"/>
              <w:left w:val="single" w:sz="4" w:space="0" w:color="000000"/>
              <w:bottom w:val="single" w:sz="4" w:space="0" w:color="000000"/>
              <w:right w:val="single" w:sz="4" w:space="0" w:color="000000"/>
            </w:tcBorders>
          </w:tcPr>
          <w:p>
            <w:pPr>
              <w:jc w:val="center"/>
            </w:pPr>
            <w:r>
              <w:t>+8 ms</w:t>
            </w:r>
          </w:p>
        </w:tc>
      </w:tr>
      <w:tr>
        <w:tc>
          <w:tcPr>
            <w:tcW w:type="dxa" w:w="1080"/>
            <w:tcBorders>
              <w:top w:val="single" w:sz="4" w:space="0" w:color="000000"/>
              <w:left w:val="single" w:sz="4" w:space="0" w:color="000000"/>
              <w:bottom w:val="single" w:sz="4" w:space="0" w:color="000000"/>
              <w:right w:val="single" w:sz="4" w:space="0" w:color="000000"/>
            </w:tcBorders>
          </w:tcPr>
          <w:p>
            <w:pPr>
              <w:jc w:val="center"/>
            </w:pPr>
            <w:r>
              <w:t>W2</w:t>
            </w:r>
          </w:p>
        </w:tc>
        <w:tc>
          <w:tcPr>
            <w:tcW w:type="dxa" w:w="1584"/>
            <w:tcBorders>
              <w:top w:val="single" w:sz="4" w:space="0" w:color="000000"/>
              <w:left w:val="single" w:sz="4" w:space="0" w:color="000000"/>
              <w:bottom w:val="single" w:sz="4" w:space="0" w:color="000000"/>
              <w:right w:val="single" w:sz="4" w:space="0" w:color="000000"/>
            </w:tcBorders>
          </w:tcPr>
          <w:p>
            <w:pPr>
              <w:jc w:val="center"/>
            </w:pPr>
            <w:r>
              <w:t>0.900±0.210</w:t>
            </w:r>
          </w:p>
        </w:tc>
        <w:tc>
          <w:tcPr>
            <w:tcW w:type="dxa" w:w="1080"/>
            <w:tcBorders>
              <w:top w:val="single" w:sz="4" w:space="0" w:color="000000"/>
              <w:left w:val="single" w:sz="4" w:space="0" w:color="000000"/>
              <w:bottom w:val="single" w:sz="4" w:space="0" w:color="000000"/>
              <w:right w:val="single" w:sz="4" w:space="0" w:color="000000"/>
            </w:tcBorders>
          </w:tcPr>
          <w:p>
            <w:pPr>
              <w:jc w:val="center"/>
            </w:pPr>
            <w:r>
              <w:t>-0.018</w:t>
            </w:r>
          </w:p>
        </w:tc>
        <w:tc>
          <w:tcPr>
            <w:tcW w:type="dxa" w:w="1080"/>
            <w:tcBorders>
              <w:top w:val="single" w:sz="4" w:space="0" w:color="000000"/>
              <w:left w:val="single" w:sz="4" w:space="0" w:color="000000"/>
              <w:bottom w:val="single" w:sz="4" w:space="0" w:color="000000"/>
              <w:right w:val="single" w:sz="4" w:space="0" w:color="000000"/>
            </w:tcBorders>
          </w:tcPr>
          <w:p>
            <w:pPr>
              <w:jc w:val="center"/>
            </w:pPr>
            <w:r>
              <w:t>0.592</w:t>
            </w:r>
          </w:p>
        </w:tc>
        <w:tc>
          <w:tcPr>
            <w:tcW w:type="dxa" w:w="1224"/>
            <w:tcBorders>
              <w:top w:val="single" w:sz="4" w:space="0" w:color="000000"/>
              <w:left w:val="single" w:sz="4" w:space="0" w:color="000000"/>
              <w:bottom w:val="single" w:sz="4" w:space="0" w:color="000000"/>
              <w:right w:val="single" w:sz="4" w:space="0" w:color="000000"/>
            </w:tcBorders>
          </w:tcPr>
          <w:p>
            <w:pPr>
              <w:jc w:val="center"/>
            </w:pPr>
            <w:r>
              <w:t>+1,510 ms</w:t>
            </w:r>
          </w:p>
        </w:tc>
      </w:tr>
      <w:tr>
        <w:tc>
          <w:tcPr>
            <w:tcW w:type="dxa" w:w="1080"/>
            <w:tcBorders>
              <w:top w:val="single" w:sz="4" w:space="0" w:color="000000"/>
              <w:left w:val="single" w:sz="4" w:space="0" w:color="000000"/>
              <w:bottom w:val="single" w:sz="4" w:space="0" w:color="000000"/>
              <w:right w:val="single" w:sz="4" w:space="0" w:color="000000"/>
            </w:tcBorders>
          </w:tcPr>
          <w:p>
            <w:pPr>
              <w:jc w:val="center"/>
            </w:pPr>
            <w:r>
              <w:t>W3</w:t>
            </w:r>
          </w:p>
        </w:tc>
        <w:tc>
          <w:tcPr>
            <w:tcW w:type="dxa" w:w="1584"/>
            <w:tcBorders>
              <w:top w:val="single" w:sz="4" w:space="0" w:color="000000"/>
              <w:left w:val="single" w:sz="4" w:space="0" w:color="000000"/>
              <w:bottom w:val="single" w:sz="4" w:space="0" w:color="000000"/>
              <w:right w:val="single" w:sz="4" w:space="0" w:color="000000"/>
            </w:tcBorders>
          </w:tcPr>
          <w:p>
            <w:pPr>
              <w:jc w:val="center"/>
            </w:pPr>
            <w:r>
              <w:t>0.900±0.255</w:t>
            </w:r>
          </w:p>
        </w:tc>
        <w:tc>
          <w:tcPr>
            <w:tcW w:type="dxa" w:w="1080"/>
            <w:tcBorders>
              <w:top w:val="single" w:sz="4" w:space="0" w:color="000000"/>
              <w:left w:val="single" w:sz="4" w:space="0" w:color="000000"/>
              <w:bottom w:val="single" w:sz="4" w:space="0" w:color="000000"/>
              <w:right w:val="single" w:sz="4" w:space="0" w:color="000000"/>
            </w:tcBorders>
          </w:tcPr>
          <w:p>
            <w:pPr>
              <w:jc w:val="center"/>
            </w:pPr>
            <w:r>
              <w:t>-0.028</w:t>
            </w:r>
          </w:p>
        </w:tc>
        <w:tc>
          <w:tcPr>
            <w:tcW w:type="dxa" w:w="1080"/>
            <w:tcBorders>
              <w:top w:val="single" w:sz="4" w:space="0" w:color="000000"/>
              <w:left w:val="single" w:sz="4" w:space="0" w:color="000000"/>
              <w:bottom w:val="single" w:sz="4" w:space="0" w:color="000000"/>
              <w:right w:val="single" w:sz="4" w:space="0" w:color="000000"/>
            </w:tcBorders>
          </w:tcPr>
          <w:p>
            <w:pPr>
              <w:jc w:val="center"/>
            </w:pPr>
            <w:r>
              <w:t>0.617</w:t>
            </w:r>
          </w:p>
        </w:tc>
        <w:tc>
          <w:tcPr>
            <w:tcW w:type="dxa" w:w="1224"/>
            <w:tcBorders>
              <w:top w:val="single" w:sz="4" w:space="0" w:color="000000"/>
              <w:left w:val="single" w:sz="4" w:space="0" w:color="000000"/>
              <w:bottom w:val="single" w:sz="4" w:space="0" w:color="000000"/>
              <w:right w:val="single" w:sz="4" w:space="0" w:color="000000"/>
            </w:tcBorders>
          </w:tcPr>
          <w:p>
            <w:pPr>
              <w:jc w:val="center"/>
            </w:pPr>
            <w:r>
              <w:t>+76 ms</w:t>
            </w:r>
          </w:p>
        </w:tc>
      </w:tr>
      <w:tr>
        <w:tc>
          <w:tcPr>
            <w:tcW w:type="dxa" w:w="1080"/>
            <w:tcBorders>
              <w:top w:val="single" w:sz="4" w:space="0" w:color="000000"/>
              <w:left w:val="single" w:sz="4" w:space="0" w:color="000000"/>
              <w:bottom w:val="single" w:sz="4" w:space="0" w:color="000000"/>
              <w:right w:val="single" w:sz="4" w:space="0" w:color="000000"/>
            </w:tcBorders>
          </w:tcPr>
          <w:p>
            <w:pPr>
              <w:jc w:val="center"/>
            </w:pPr>
            <w:r>
              <w:t>W4 (best)</w:t>
            </w:r>
          </w:p>
        </w:tc>
        <w:tc>
          <w:tcPr>
            <w:tcW w:type="dxa" w:w="1584"/>
            <w:tcBorders>
              <w:top w:val="single" w:sz="4" w:space="0" w:color="000000"/>
              <w:left w:val="single" w:sz="4" w:space="0" w:color="000000"/>
              <w:bottom w:val="single" w:sz="4" w:space="0" w:color="000000"/>
              <w:right w:val="single" w:sz="4" w:space="0" w:color="000000"/>
            </w:tcBorders>
          </w:tcPr>
          <w:p>
            <w:pPr>
              <w:jc w:val="center"/>
            </w:pPr>
            <w:r>
              <w:t>0.942±0.124</w:t>
            </w:r>
          </w:p>
        </w:tc>
        <w:tc>
          <w:tcPr>
            <w:tcW w:type="dxa" w:w="1080"/>
            <w:tcBorders>
              <w:top w:val="single" w:sz="4" w:space="0" w:color="000000"/>
              <w:left w:val="single" w:sz="4" w:space="0" w:color="000000"/>
              <w:bottom w:val="single" w:sz="4" w:space="0" w:color="000000"/>
              <w:right w:val="single" w:sz="4" w:space="0" w:color="000000"/>
            </w:tcBorders>
          </w:tcPr>
          <w:p>
            <w:pPr>
              <w:jc w:val="center"/>
            </w:pPr>
            <w:r>
              <w:t>+0.009</w:t>
            </w:r>
          </w:p>
        </w:tc>
        <w:tc>
          <w:tcPr>
            <w:tcW w:type="dxa" w:w="1080"/>
            <w:tcBorders>
              <w:top w:val="single" w:sz="4" w:space="0" w:color="000000"/>
              <w:left w:val="single" w:sz="4" w:space="0" w:color="000000"/>
              <w:bottom w:val="single" w:sz="4" w:space="0" w:color="000000"/>
              <w:right w:val="single" w:sz="4" w:space="0" w:color="000000"/>
            </w:tcBorders>
          </w:tcPr>
          <w:p>
            <w:pPr>
              <w:jc w:val="center"/>
            </w:pPr>
            <w:r>
              <w:t>0.634</w:t>
            </w:r>
          </w:p>
        </w:tc>
        <w:tc>
          <w:tcPr>
            <w:tcW w:type="dxa" w:w="1224"/>
            <w:tcBorders>
              <w:top w:val="single" w:sz="4" w:space="0" w:color="000000"/>
              <w:left w:val="single" w:sz="4" w:space="0" w:color="000000"/>
              <w:bottom w:val="single" w:sz="4" w:space="0" w:color="000000"/>
              <w:right w:val="single" w:sz="4" w:space="0" w:color="000000"/>
            </w:tcBorders>
          </w:tcPr>
          <w:p>
            <w:pPr>
              <w:jc w:val="center"/>
            </w:pPr>
            <w:r>
              <w:t>+285 ms</w:t>
            </w:r>
          </w:p>
        </w:tc>
      </w:tr>
    </w:tbl>
    <w:p/>
    <w:p>
      <w:pPr>
        <w:jc w:val="center"/>
      </w:pPr>
      <w:r>
        <w:drawing>
          <wp:inline xmlns:a="http://schemas.openxmlformats.org/drawingml/2006/main" xmlns:pic="http://schemas.openxmlformats.org/drawingml/2006/picture">
            <wp:extent cx="3017520" cy="2092873"/>
            <wp:docPr id="3" name="Picture 3"/>
            <wp:cNvGraphicFramePr>
              <a:graphicFrameLocks noChangeAspect="1"/>
            </wp:cNvGraphicFramePr>
            <a:graphic>
              <a:graphicData uri="http://schemas.openxmlformats.org/drawingml/2006/picture">
                <pic:pic>
                  <pic:nvPicPr>
                    <pic:cNvPr id="0" name="experiment_d_heatmap_state_integrity_score.png"/>
                    <pic:cNvPicPr/>
                  </pic:nvPicPr>
                  <pic:blipFill>
                    <a:blip r:embed="rId35"/>
                    <a:stretch>
                      <a:fillRect/>
                    </a:stretch>
                  </pic:blipFill>
                  <pic:spPr>
                    <a:xfrm>
                      <a:off x="0" y="0"/>
                      <a:ext cx="3017520" cy="2092873"/>
                    </a:xfrm>
                    <a:prstGeom prst="rect"/>
                  </pic:spPr>
                </pic:pic>
              </a:graphicData>
            </a:graphic>
          </wp:inline>
        </w:drawing>
      </w:r>
    </w:p>
    <w:p>
      <w:pPr>
        <w:pStyle w:val="FigureCaption"/>
        <w:jc w:val="center"/>
      </w:pPr>
      <w:r>
        <w:rPr>
          <w:b/>
        </w:rPr>
        <w:t xml:space="preserve">Fig. 4. </w:t>
      </w:r>
      <w:r>
        <w:t>State integrity for the R3 column under real Cassandra (RUN-007, n=30). W4+R3=0.942 (best); W0+R3=0.858 (worst).</w:t>
      </w:r>
    </w:p>
    <w:p/>
    <w:p>
      <w:pPr>
        <w:pStyle w:val="Heading1"/>
      </w:pPr>
      <w:r>
        <w:t>VII. DISCUSSION</w:t>
      </w:r>
    </w:p>
    <w:p>
      <w:pPr>
        <w:pStyle w:val="Heading2"/>
      </w:pPr>
      <w:r>
        <w:t>A. Finding 1: W1+R4 is the Pareto-Optimal Pairing</w:t>
      </w:r>
    </w:p>
    <w:p>
      <w:pPr>
        <w:pStyle w:val="PARAIndent"/>
      </w:pPr>
      <w:r>
        <w:t>W1+R4 (Selective Flush × MemGPT Hierarchical) achieves σ_integrity = 0.985 (std=0.085) at handoff latency 4,626 ms (n=100)—the tightest variance of all 25 cells. This pairing was not hypothesized in advance; it emerges only from the exhaustive surface. The mechanism is structural alignment: W1 commits only milestone traces to Cassandra, and R4 prioritizes exactly those checkpoint traces in its two-tier reconstruction. W4+R4 (0.955, std=0.152) was identified in prototype runs but is supplanted by W1+R4 at n=100.</w:t>
      </w:r>
    </w:p>
    <w:p>
      <w:pPr>
        <w:pStyle w:val="Heading2"/>
      </w:pPr>
      <w:r>
        <w:t>B. Finding 2: W1+R1 Double-Filter Anti-Pattern</w:t>
      </w:r>
    </w:p>
    <w:p>
      <w:pPr>
        <w:pStyle w:val="PARAIndent"/>
      </w:pPr>
      <w:r>
        <w:t>W1+R1 achieves σ_integrity=0.703—below the R1 column mean. Both filters are active simultaneously: W1 writes only milestone traces to Cassandra; R1 reads only milestone traces from Cassandra. Non-milestone traces carrying procedural state are lost at both boundaries, producing a discontinuous handoff invisible in per-layer ablation studies.</w:t>
      </w:r>
    </w:p>
    <w:p>
      <w:pPr>
        <w:pStyle w:val="Heading2"/>
      </w:pPr>
      <w:r>
        <w:t>C. Finding 3: R2 Summarization Cost Paradox</w:t>
      </w:r>
    </w:p>
    <w:p>
      <w:pPr>
        <w:pStyle w:val="PARAIndent"/>
      </w:pPr>
      <w:r>
        <w:t>R2 achieves the highest compression ratio (3.661×) yet incurs the highest per-iteration cost ($0.00476, +96% vs. baseline). The summarization prompt transmits the full session to a separate API call before any compression occurs. At five-turn session length the crossover break-even has not been reached. Based on Eq. 6, R2 becomes cost-positive only when sessions exceed approximately 20–25 turns.</w:t>
      </w:r>
    </w:p>
    <w:p>
      <w:pPr>
        <w:pStyle w:val="Heading2"/>
      </w:pPr>
      <w:r>
        <w:t>D. Finding 4: Co-Design Principle</w:t>
      </w:r>
    </w:p>
    <w:p>
      <w:pPr>
        <w:pStyle w:val="PARAIndent"/>
      </w:pPr>
      <w:r>
        <w:t>Of the 20 measured cells (R3 column excluded from stub analysis), six pairings produce σ_integrity below the W0+R0 baseline (0.583). The practical implication is a two-layer compatibility constraint: (i) R1 and R3 should not be paired with W1 (double-filter and write-quality effects respectively); (ii) R3 deployments should use W4 (adaptive preflush)—W4+R3=0.942 with zero handoff-write overhead, versus W0+R3=0.858 with +1,595 ms deferred-write penalty.</w:t>
      </w:r>
    </w:p>
    <w:p>
      <w:pPr>
        <w:pStyle w:val="Heading2"/>
      </w:pPr>
      <w:r>
        <w:t>E. Finding 5: Write-Selectivity Determines R3 Corpus Quality</w:t>
      </w:r>
    </w:p>
    <w:p>
      <w:pPr>
        <w:pStyle w:val="PARAIndent"/>
      </w:pPr>
      <w:r>
        <w:t>RUN-007 refutes the initial CatastrophicInterference hypothesis (W1+R3 would be worst). W1+R3 real = 0.892—second-best, not worst. W0+R3 real = 0.858 is worst. The write-deferral penalty explains this: W0 and W2 flush to Cassandra at handoff time (+1,500 ms) and flood the retrieval index with low-signal traces. W4’s adaptive preflush creates an optimally curated corpus throughout the session (+0.009 vs. stub, no degradation). W1’s milestone-only corpus improves retrieval precision (fidelity 0.703 vs. W0’s 0.646). R3 is the only read engine sensitive to write engine selection.</w:t>
      </w:r>
    </w:p>
    <w:p>
      <w:pPr>
        <w:pStyle w:val="Heading2"/>
      </w:pPr>
      <w:r>
        <w:t>F. Threats to Validity</w:t>
      </w:r>
    </w:p>
    <w:p>
      <w:pPr>
        <w:pStyle w:val="Text"/>
      </w:pPr>
      <w:r>
        <w:rPr>
          <w:b/>
        </w:rPr>
        <w:t xml:space="preserve">Run size (n=100). </w:t>
      </w:r>
      <w:r>
        <w:t>Wilcoxon finds significance for only 2 of 56 comparisons. The low rate reflects LLM non-determinism, not absence of effect: the R4 vs. R0 integrity gap (0.37 units) far exceeds practical significance thresholds.</w:t>
      </w:r>
    </w:p>
    <w:p>
      <w:pPr>
        <w:pStyle w:val="Text"/>
      </w:pPr>
      <w:r>
        <w:rPr>
          <w:b/>
        </w:rPr>
        <w:t xml:space="preserve">Cassandra stub. </w:t>
      </w:r>
      <w:r>
        <w:t>RUN-006 uses an in-memory stub. Flush latencies are near-zero and not representative of real WAN cost. RUN-007 quantifies the R3 column with real Cassandra (n=30); the remaining 20 cells under real Cassandra are deferred.</w:t>
      </w:r>
    </w:p>
    <w:p>
      <w:pPr>
        <w:pStyle w:val="Text"/>
      </w:pPr>
      <w:r>
        <w:rPr>
          <w:b/>
        </w:rPr>
        <w:t xml:space="preserve">Single LLM model. </w:t>
      </w:r>
      <w:r>
        <w:t>All experiments use claude-haiku-4-5. Generalization to GPT-4o, Gemini, and Llama 3 is deferred to future work.</w:t>
      </w:r>
    </w:p>
    <w:p>
      <w:pPr>
        <w:pStyle w:val="Heading1"/>
      </w:pPr>
      <w:r>
        <w:t>VIII. CONCLUSION</w:t>
      </w:r>
    </w:p>
    <w:p>
      <w:pPr>
        <w:pStyle w:val="PARAIndent"/>
      </w:pPr>
      <w:r>
        <w:t>Cross-region LLM agent session migration is a systems problem with a hidden algorithm interaction: how state is written to durable storage fundamentally shapes what a read algorithm can reconstruct. Prior work optimized write and read strategies in isolation, implicitly assuming gains compose additively. This paper refutes that assumption with empirical evidence.</w:t>
      </w:r>
    </w:p>
    <w:p>
      <w:pPr>
        <w:pStyle w:val="PARAIndent"/>
      </w:pPr>
      <w:r>
        <w:t>We introduced a two-tier Redis+Cassandra architecture and designed five write engines (W0–W4) and five read engines (R0–R4) representing the design space from naive full-flush to CRDT-based replication, and from full context dump to hierarchical memory compression. By exhaustively evaluating all 25 combinations with an LLM-as-a-Judge protocol, we produced the first complete compatibility surface for cross-region LLM session handoff.</w:t>
      </w:r>
    </w:p>
    <w:p>
      <w:pPr>
        <w:pStyle w:val="PARAIndent"/>
      </w:pPr>
      <w:r>
        <w:t>Three principal findings: First, the Pareto-optimal pairing is W1+R4 (σ_integrity=0.985, std=0.085, n=100), discoverable only from the exhaustive surface—not from either ablation alone. Second, the read engine is the primary determinant of session continuity; write-engine variation within any read tier does not reach statistical significance at n=100. Third, R3 (Semantic RAG) is the only read engine sensitive to write engine selection: W4+R3=0.942 (optimal), W0+R3=0.858 (worst), measured with real Cassandra.</w:t>
      </w:r>
    </w:p>
    <w:p>
      <w:pPr>
        <w:pStyle w:val="PARAIndent"/>
      </w:pPr>
      <w:r>
        <w:t>Future work: (i) WAN sensitivity under Toxiproxy-simulated latency; (ii) topologies beyond two regions where CRDT merge complexity grows; (iii) evaluation across LLM families (GPT-4o, Gemini, Llama 3) to assess W1+R4 generalization.</w:t>
      </w:r>
    </w:p>
    <w:p>
      <w:pPr>
        <w:pStyle w:val="ReferenceHead"/>
      </w:pPr>
      <w:r>
        <w:t>Acknowledgment</w:t>
      </w:r>
    </w:p>
    <w:p>
      <w:pPr>
        <w:pStyle w:val="Text"/>
      </w:pPr>
      <w:r>
        <w:t>This work was conducted independently and is self-funded. The author thanks Anthropic for API access to claude-haiku-4-5 used throughout the experimental evaluation. The views expressed are solely those of the author and do not represent the views of JPMorgan Chase &amp; Co.</w:t>
      </w:r>
    </w:p>
    <w:p>
      <w:pPr>
        <w:pStyle w:val="ReferenceHead"/>
      </w:pPr>
      <w:r>
        <w:t>References</w:t>
      </w:r>
    </w:p>
    <w:p>
      <w:pPr>
        <w:pStyle w:val="References"/>
      </w:pPr>
      <w:r>
        <w:t>[1] M. Shapiro et al., “A comprehensive study of convergent and commutative replicated data types,” INRIA, Tech. Rep. RR-7506, 2011.</w:t>
      </w:r>
    </w:p>
    <w:p>
      <w:pPr>
        <w:pStyle w:val="References"/>
      </w:pPr>
      <w:r>
        <w:t>[2] M. Shapiro et al., “Conflict-free replicated data types,” in Proc. SSS 2011, pp. 386–400, doi: 10.1007/978-3-642-24550-3_29.</w:t>
      </w:r>
    </w:p>
    <w:p>
      <w:pPr>
        <w:pStyle w:val="References"/>
      </w:pPr>
      <w:r>
        <w:t>[3] G. DeCandia et al., “Dynamo: Amazon’s highly available key-value store,” in Proc. SOSP 2007, pp. 205–220.</w:t>
      </w:r>
    </w:p>
    <w:p>
      <w:pPr>
        <w:pStyle w:val="References"/>
      </w:pPr>
      <w:r>
        <w:t>[4] A. Lakshman and P. Malik, “Cassandra: A decentralized structured storage system,” ACM SIGOPS OSR, vol. 44, no. 2, pp. 35–40, Apr. 2010.</w:t>
      </w:r>
    </w:p>
    <w:p>
      <w:pPr>
        <w:pStyle w:val="References"/>
      </w:pPr>
      <w:r>
        <w:t>[5] J. C. Corbett et al., “Spanner: Google’s globally distributed database,” ACM TOCS, vol. 31, no. 3, pp. 1–22, Aug. 2013.</w:t>
      </w:r>
    </w:p>
    <w:p>
      <w:pPr>
        <w:pStyle w:val="References"/>
      </w:pPr>
      <w:r>
        <w:t>[6] N. VanBenschoten et al., “Enabling next-generation multi-region applications with CockroachDB,” in Proc. SIGMOD 2022, pp. 2312–2325.</w:t>
      </w:r>
    </w:p>
    <w:p>
      <w:pPr>
        <w:pStyle w:val="References"/>
      </w:pPr>
      <w:r>
        <w:t>[7] C. Packer et al., “MemGPT: Towards LLMs as operating systems,” arXiv:2310.08560, Oct. 2023.</w:t>
      </w:r>
    </w:p>
    <w:p>
      <w:pPr>
        <w:pStyle w:val="References"/>
      </w:pPr>
      <w:r>
        <w:t>[8] P. Lewis et al., “Retrieval-augmented generation for knowledge-intensive NLP tasks,” NeurIPS, vol. 33, pp. 9459–9474, 2020.</w:t>
      </w:r>
    </w:p>
    <w:p>
      <w:pPr>
        <w:pStyle w:val="References"/>
      </w:pPr>
      <w:r>
        <w:t>[9] N. Reimers and I. Gurevych, “Sentence-BERT: Sentence embeddings using siamese BERT-networks,” in Proc. EMNLP-IJCNLP 2019, pp. 3982–3992.</w:t>
      </w:r>
    </w:p>
    <w:p>
      <w:pPr>
        <w:pStyle w:val="References"/>
      </w:pPr>
      <w:r>
        <w:t>[10] S. Yao et al., “ReAct: Synergizing reasoning and acting in language models,” in Proc. ICLR 2023.</w:t>
      </w:r>
    </w:p>
    <w:p>
      <w:pPr>
        <w:pStyle w:val="References"/>
      </w:pPr>
      <w:r>
        <w:t>[11] H. Jiang et al., “LLMLingua: Compressing prompts for accelerated inference,” in Proc. EMNLP 2023, pp. 13358–13376.</w:t>
      </w:r>
    </w:p>
    <w:p>
      <w:pPr>
        <w:pStyle w:val="References"/>
      </w:pPr>
      <w:r>
        <w:t>[12] Y. Liu et al., “G-Eval: NLG evaluation using GPT-4 with better human alignment,” in Proc. EMNLP 2023, pp. 2511–2522.</w:t>
      </w:r>
    </w:p>
    <w:p>
      <w:pPr>
        <w:pStyle w:val="References"/>
      </w:pPr>
      <w:r>
        <w:t>[13] L. Zheng et al., “Judging LLM-as-a-judge with MT-Bench and Chatbot Arena,” NeurIPS, vol. 36, pp. 46595–46623, 2023.</w:t>
      </w:r>
    </w:p>
    <w:p>
      <w:pPr>
        <w:pStyle w:val="References"/>
      </w:pPr>
      <w:r>
        <w:t>[14] W. Kwon et al., “Efficient memory management for LLM serving with PagedAttention,” in Proc. SOSP 2023, pp. 611–626.</w:t>
      </w:r>
    </w:p>
    <w:p>
      <w:pPr>
        <w:pStyle w:val="ReferenceHead"/>
      </w:pPr>
      <w:r>
        <w:t>Author Biography</w:t>
      </w:r>
    </w:p>
    <w:p>
      <w:pPr>
        <w:pStyle w:val="Text"/>
      </w:pPr>
      <w:r>
        <w:rPr>
          <w:b/>
        </w:rPr>
        <w:t xml:space="preserve">Padmajeet Dashrath Mhaske </w:t>
      </w:r>
      <w:r>
        <w:t>(ORCID: 0009-0008-6285-813X) is a Vice President and AI/ML Platform Architect at JPMorgan Chase, where he leads the architecture and development of large-scale, high-performance AI/ML solutions. With more than 15 years of experience in enterprise software and AI infrastructure, he specializes in translating strategic vision into production platforms using technologies including TensorFlow, PyTorch, Docker, and Kubernetes. He combines deep technical expertise with a strong background in risk management and regulatory compliance. His research interests include distributed systems, multi-region LLM agent infrastructure, context management for long-running AI agents, and CRDT-based replication for active-active deployments. This work was conducted independently and is self-funded.</w:t>
      </w:r>
    </w:p>
    <w:sectPr w:rsidR="00732E46" w:rsidSect="00002FAF">
      <w:footnotePr>
        <w:numRestart w:val="eachSect"/>
      </w:footnotePr>
      <w:type w:val="continuous"/>
      <w:pgSz w:w="12240" w:h="15840"/>
      <w:pgMar w:top="1008" w:right="936" w:bottom="1008" w:left="936" w:header="432" w:footer="432" w:gutter="0"/>
      <w:pgNumType w:start="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AA182" w14:textId="77777777" w:rsidR="003D21A4" w:rsidRDefault="003D21A4">
      <w:r>
        <w:separator/>
      </w:r>
    </w:p>
  </w:endnote>
  <w:endnote w:type="continuationSeparator" w:id="0">
    <w:p w14:paraId="298A97AA" w14:textId="77777777" w:rsidR="003D21A4" w:rsidRDefault="003D2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altName w:val="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Yu Gothic"/>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F6B13" w14:textId="77777777" w:rsidR="003D21A4" w:rsidRPr="009A0AA6" w:rsidRDefault="003D21A4" w:rsidP="009A0AA6">
      <w:pPr>
        <w:pStyle w:val="Footer"/>
      </w:pPr>
    </w:p>
  </w:footnote>
  <w:footnote w:type="continuationSeparator" w:id="0">
    <w:p w14:paraId="0020E514" w14:textId="77777777" w:rsidR="003D21A4" w:rsidRDefault="003D21A4">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161145">
    <w:abstractNumId w:val="9"/>
  </w:num>
  <w:num w:numId="2" w16cid:durableId="2045328704">
    <w:abstractNumId w:val="2"/>
  </w:num>
  <w:num w:numId="3" w16cid:durableId="2093509055">
    <w:abstractNumId w:val="1"/>
  </w:num>
  <w:num w:numId="4" w16cid:durableId="271281071">
    <w:abstractNumId w:val="8"/>
  </w:num>
  <w:num w:numId="5" w16cid:durableId="1310592536">
    <w:abstractNumId w:val="5"/>
  </w:num>
  <w:num w:numId="6" w16cid:durableId="30106803">
    <w:abstractNumId w:val="6"/>
  </w:num>
  <w:num w:numId="7" w16cid:durableId="10054015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893242">
    <w:abstractNumId w:val="4"/>
  </w:num>
  <w:num w:numId="9" w16cid:durableId="1583679067">
    <w:abstractNumId w:val="3"/>
  </w:num>
  <w:num w:numId="10" w16cid:durableId="1219125038">
    <w:abstractNumId w:val="7"/>
  </w:num>
  <w:num w:numId="11" w16cid:durableId="2023893337">
    <w:abstractNumId w:val="0"/>
  </w:num>
  <w:num w:numId="12" w16cid:durableId="1371687492">
    <w:abstractNumId w:val="11"/>
  </w:num>
  <w:num w:numId="13" w16cid:durableId="11669390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C3492"/>
    <w:rsid w:val="002E2421"/>
    <w:rsid w:val="002F221E"/>
    <w:rsid w:val="00305C29"/>
    <w:rsid w:val="0031286C"/>
    <w:rsid w:val="00313303"/>
    <w:rsid w:val="00357347"/>
    <w:rsid w:val="0036091A"/>
    <w:rsid w:val="003913E5"/>
    <w:rsid w:val="003D21A4"/>
    <w:rsid w:val="003F021E"/>
    <w:rsid w:val="00402320"/>
    <w:rsid w:val="004063A4"/>
    <w:rsid w:val="00474613"/>
    <w:rsid w:val="0048247F"/>
    <w:rsid w:val="004A4B26"/>
    <w:rsid w:val="004B29E3"/>
    <w:rsid w:val="004C0A1B"/>
    <w:rsid w:val="004C0A56"/>
    <w:rsid w:val="004C1E98"/>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6199E"/>
    <w:rsid w:val="00986618"/>
    <w:rsid w:val="009A0AA6"/>
    <w:rsid w:val="009B429F"/>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1243</TotalTime>
  <Pages>6</Pages>
  <Words>4704</Words>
  <Characters>26818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Shannon Campos</cp:lastModifiedBy>
  <cp:revision>67</cp:revision>
  <cp:lastPrinted>2022-10-11T10:58:00Z</cp:lastPrinted>
  <dcterms:created xsi:type="dcterms:W3CDTF">2022-10-06T08:13:00Z</dcterms:created>
  <dcterms:modified xsi:type="dcterms:W3CDTF">2023-03-01T15:04:00Z</dcterms:modified>
</cp:coreProperties>
</file>