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color w:val="auto"/>
          <w:sz w:val="32"/>
          <w:szCs w:val="32"/>
        </w:rPr>
      </w:pPr>
      <w:bookmarkStart w:id="0" w:name="_GoBack"/>
      <w:r>
        <w:rPr>
          <w:color w:val="auto"/>
          <w:sz w:val="32"/>
          <w:szCs w:val="32"/>
        </w:rPr>
        <w:t>Project Planning Phase</w:t>
      </w:r>
    </w:p>
    <w:bookmarkEnd w:id="0"/>
    <w:p>
      <w:pPr>
        <w:pStyle w:val="3"/>
        <w:rPr>
          <w:rFonts w:hint="default" w:ascii="Times New Roman" w:hAnsi="Times New Roman" w:cs="Times New Roman"/>
          <w:color w:val="auto"/>
          <w:sz w:val="28"/>
          <w:szCs w:val="28"/>
        </w:rPr>
      </w:pPr>
      <w:r>
        <w:rPr>
          <w:rFonts w:hint="default" w:ascii="Times New Roman" w:hAnsi="Times New Roman" w:cs="Times New Roman"/>
          <w:b w:val="0"/>
          <w:bCs w:val="0"/>
          <w:color w:val="auto"/>
          <w:sz w:val="28"/>
          <w:szCs w:val="28"/>
        </w:rPr>
        <w:t xml:space="preserve">Project planning (Scope, </w:t>
      </w:r>
      <w:r>
        <w:rPr>
          <w:rFonts w:hint="default" w:ascii="Times New Roman" w:hAnsi="Times New Roman" w:cs="Times New Roman"/>
          <w:b w:val="0"/>
          <w:bCs w:val="0"/>
          <w:color w:val="auto"/>
          <w:sz w:val="28"/>
          <w:szCs w:val="28"/>
        </w:rPr>
        <w:t>Module Planning</w:t>
      </w: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color w:val="auto"/>
          <w:sz w:val="28"/>
          <w:szCs w:val="28"/>
        </w:rPr>
        <w:t>Risk Management and Mitigation</w:t>
      </w:r>
    </w:p>
    <w:p>
      <w:pPr>
        <w:spacing w:after="0"/>
        <w:jc w:val="center"/>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 Milestone and Deliverable Plan)</w:t>
      </w:r>
    </w:p>
    <w:p>
      <w:pPr>
        <w:pStyle w:val="2"/>
        <w:rPr>
          <w:color w:val="auto"/>
        </w:rPr>
      </w:pPr>
      <w:r>
        <w:rPr>
          <w:color w:val="auto"/>
        </w:rPr>
        <w:t>Project Planning Phase</w:t>
      </w:r>
    </w:p>
    <w:p>
      <w:pPr>
        <w:rPr>
          <w:color w:val="auto"/>
        </w:rPr>
      </w:pPr>
      <w:r>
        <w:rPr>
          <w:color w:val="auto"/>
        </w:rPr>
        <w:t>Team ID</w:t>
      </w:r>
      <w:r>
        <w:rPr>
          <w:rFonts w:hint="default"/>
          <w:color w:val="auto"/>
          <w:lang w:val="en-US"/>
        </w:rPr>
        <w:t xml:space="preserve">            </w:t>
      </w:r>
      <w:r>
        <w:rPr>
          <w:color w:val="auto"/>
        </w:rPr>
        <w:t>: NM2025TMID07902</w:t>
      </w:r>
    </w:p>
    <w:p>
      <w:pPr>
        <w:rPr>
          <w:color w:val="auto"/>
        </w:rPr>
      </w:pPr>
      <w:r>
        <w:rPr>
          <w:color w:val="auto"/>
        </w:rPr>
        <w:t>Project Title</w:t>
      </w:r>
      <w:r>
        <w:rPr>
          <w:rFonts w:hint="default"/>
          <w:color w:val="auto"/>
          <w:lang w:val="en-US"/>
        </w:rPr>
        <w:t xml:space="preserve">     </w:t>
      </w:r>
      <w:r>
        <w:rPr>
          <w:color w:val="auto"/>
        </w:rPr>
        <w:t>: Garage Management System</w:t>
      </w:r>
    </w:p>
    <w:p>
      <w:pPr>
        <w:rPr>
          <w:color w:val="auto"/>
        </w:rPr>
      </w:pPr>
      <w:r>
        <w:rPr>
          <w:color w:val="auto"/>
        </w:rPr>
        <w:t>Date</w:t>
      </w:r>
      <w:r>
        <w:rPr>
          <w:rFonts w:hint="default"/>
          <w:color w:val="auto"/>
          <w:lang w:val="en-US"/>
        </w:rPr>
        <w:t xml:space="preserve">                    </w:t>
      </w:r>
      <w:r>
        <w:rPr>
          <w:color w:val="auto"/>
        </w:rPr>
        <w:t>: 0</w:t>
      </w:r>
      <w:r>
        <w:rPr>
          <w:rFonts w:hint="default"/>
          <w:color w:val="auto"/>
          <w:lang w:val="en-US"/>
        </w:rPr>
        <w:t>1</w:t>
      </w:r>
      <w:r>
        <w:rPr>
          <w:color w:val="auto"/>
        </w:rPr>
        <w:t xml:space="preserve"> November 2025</w:t>
      </w:r>
    </w:p>
    <w:p>
      <w:pPr>
        <w:pStyle w:val="3"/>
        <w:rPr>
          <w:color w:val="auto"/>
        </w:rPr>
      </w:pPr>
      <w:r>
        <w:rPr>
          <w:color w:val="auto"/>
        </w:rPr>
        <w:t>2.1 Purpose of the Phase</w:t>
      </w:r>
    </w:p>
    <w:p>
      <w:pPr>
        <w:rPr>
          <w:color w:val="auto"/>
        </w:rPr>
      </w:pPr>
      <w:r>
        <w:rPr>
          <w:color w:val="auto"/>
        </w:rPr>
        <w:t>The Project Planning Phase establishes a clear roadmap for the implementation of the Garage Management System using Salesforce. This phase defines objectives, project scope, timeline, resources, and risk management strategies to ensure systematic execution of the project.</w:t>
      </w:r>
    </w:p>
    <w:p>
      <w:pPr>
        <w:pStyle w:val="3"/>
        <w:rPr>
          <w:color w:val="auto"/>
        </w:rPr>
      </w:pPr>
      <w:r>
        <w:rPr>
          <w:color w:val="auto"/>
        </w:rPr>
        <w:t>2.2 Scope of the Project</w:t>
      </w:r>
    </w:p>
    <w:p>
      <w:pPr>
        <w:rPr>
          <w:color w:val="auto"/>
        </w:rPr>
      </w:pPr>
      <w:r>
        <w:rPr>
          <w:color w:val="auto"/>
        </w:rPr>
        <w:t>The Garage Management System automates daily garage operations by using Salesforce capabilities. It covers customer management, vehicle tracking, appointment scheduling, service tracking, billing automation, and reporting. This system is designed to minimize manual effort, reduce delays, and enhance customer satisfaction through real-time data management.</w:t>
      </w:r>
    </w:p>
    <w:p>
      <w:pPr>
        <w:pStyle w:val="3"/>
        <w:rPr>
          <w:color w:val="auto"/>
        </w:rPr>
      </w:pPr>
      <w:r>
        <w:rPr>
          <w:color w:val="auto"/>
        </w:rPr>
        <w:t>2.3 Objectives</w:t>
      </w:r>
    </w:p>
    <w:p>
      <w:pPr>
        <w:rPr>
          <w:color w:val="auto"/>
        </w:rPr>
      </w:pPr>
      <w:r>
        <w:rPr>
          <w:color w:val="auto"/>
        </w:rPr>
        <w:t>1. Develop a centralized Salesforce-based platform for managing garage operations.</w:t>
      </w:r>
      <w:r>
        <w:rPr>
          <w:color w:val="auto"/>
        </w:rPr>
        <w:br w:type="textWrapping"/>
      </w:r>
      <w:r>
        <w:rPr>
          <w:color w:val="auto"/>
        </w:rPr>
        <w:t>2. Implement automated workflows to reduce manual processes.</w:t>
      </w:r>
      <w:r>
        <w:rPr>
          <w:color w:val="auto"/>
        </w:rPr>
        <w:br w:type="textWrapping"/>
      </w:r>
      <w:r>
        <w:rPr>
          <w:color w:val="auto"/>
        </w:rPr>
        <w:t>3. Integrate appointment, billing, and feedback modules.</w:t>
      </w:r>
      <w:r>
        <w:rPr>
          <w:color w:val="auto"/>
        </w:rPr>
        <w:br w:type="textWrapping"/>
      </w:r>
      <w:r>
        <w:rPr>
          <w:color w:val="auto"/>
        </w:rPr>
        <w:t>4. Generate real-time performance and financial reports.</w:t>
      </w:r>
      <w:r>
        <w:rPr>
          <w:color w:val="auto"/>
        </w:rPr>
        <w:br w:type="textWrapping"/>
      </w:r>
      <w:r>
        <w:rPr>
          <w:color w:val="auto"/>
        </w:rPr>
        <w:t>5. Improve customer communication using email and alert automation.</w:t>
      </w:r>
    </w:p>
    <w:p>
      <w:pPr>
        <w:pStyle w:val="3"/>
        <w:rPr>
          <w:color w:val="auto"/>
        </w:rPr>
      </w:pPr>
      <w:r>
        <w:rPr>
          <w:color w:val="auto"/>
        </w:rPr>
        <w:t>2.4 Module Planning</w:t>
      </w:r>
    </w:p>
    <w:tbl>
      <w:tblPr>
        <w:tblStyle w:val="12"/>
        <w:tblW w:w="0" w:type="auto"/>
        <w:tblInd w:w="0" w:type="dxa"/>
        <w:tblLayout w:type="autofit"/>
        <w:tblCellMar>
          <w:top w:w="0" w:type="dxa"/>
          <w:left w:w="108" w:type="dxa"/>
          <w:bottom w:w="0" w:type="dxa"/>
          <w:right w:w="108" w:type="dxa"/>
        </w:tblCellMar>
      </w:tblPr>
      <w:tblGrid>
        <w:gridCol w:w="4320"/>
        <w:gridCol w:w="4320"/>
      </w:tblGrid>
      <w:tr>
        <w:tblPrEx>
          <w:tblCellMar>
            <w:top w:w="0" w:type="dxa"/>
            <w:left w:w="108" w:type="dxa"/>
            <w:bottom w:w="0" w:type="dxa"/>
            <w:right w:w="108" w:type="dxa"/>
          </w:tblCellMar>
        </w:tblPrEx>
        <w:tc>
          <w:tcPr>
            <w:tcW w:w="4320" w:type="dxa"/>
          </w:tcPr>
          <w:p>
            <w:pPr>
              <w:rPr>
                <w:color w:val="auto"/>
              </w:rPr>
            </w:pPr>
            <w:r>
              <w:rPr>
                <w:color w:val="auto"/>
              </w:rPr>
              <w:t>Module</w:t>
            </w:r>
          </w:p>
        </w:tc>
        <w:tc>
          <w:tcPr>
            <w:tcW w:w="4320" w:type="dxa"/>
          </w:tcPr>
          <w:p>
            <w:pPr>
              <w:rPr>
                <w:color w:val="auto"/>
              </w:rPr>
            </w:pPr>
            <w:r>
              <w:rPr>
                <w:color w:val="auto"/>
              </w:rPr>
              <w:t>Description</w:t>
            </w:r>
          </w:p>
        </w:tc>
      </w:tr>
      <w:tr>
        <w:tblPrEx>
          <w:tblCellMar>
            <w:top w:w="0" w:type="dxa"/>
            <w:left w:w="108" w:type="dxa"/>
            <w:bottom w:w="0" w:type="dxa"/>
            <w:right w:w="108" w:type="dxa"/>
          </w:tblCellMar>
        </w:tblPrEx>
        <w:tc>
          <w:tcPr>
            <w:tcW w:w="4320" w:type="dxa"/>
          </w:tcPr>
          <w:p>
            <w:pPr>
              <w:rPr>
                <w:color w:val="auto"/>
              </w:rPr>
            </w:pPr>
            <w:r>
              <w:rPr>
                <w:color w:val="auto"/>
              </w:rPr>
              <w:t>Customer Management</w:t>
            </w:r>
          </w:p>
        </w:tc>
        <w:tc>
          <w:tcPr>
            <w:tcW w:w="4320" w:type="dxa"/>
          </w:tcPr>
          <w:p>
            <w:pPr>
              <w:rPr>
                <w:color w:val="auto"/>
              </w:rPr>
            </w:pPr>
            <w:r>
              <w:rPr>
                <w:color w:val="auto"/>
              </w:rPr>
              <w:t>Maintain customer information, contact details, and service history using custom objects.</w:t>
            </w:r>
          </w:p>
        </w:tc>
      </w:tr>
      <w:tr>
        <w:tblPrEx>
          <w:tblCellMar>
            <w:top w:w="0" w:type="dxa"/>
            <w:left w:w="108" w:type="dxa"/>
            <w:bottom w:w="0" w:type="dxa"/>
            <w:right w:w="108" w:type="dxa"/>
          </w:tblCellMar>
        </w:tblPrEx>
        <w:tc>
          <w:tcPr>
            <w:tcW w:w="4320" w:type="dxa"/>
          </w:tcPr>
          <w:p>
            <w:pPr>
              <w:rPr>
                <w:color w:val="auto"/>
              </w:rPr>
            </w:pPr>
            <w:r>
              <w:rPr>
                <w:color w:val="auto"/>
              </w:rPr>
              <w:t>Vehicle &amp; Service Management</w:t>
            </w:r>
          </w:p>
        </w:tc>
        <w:tc>
          <w:tcPr>
            <w:tcW w:w="4320" w:type="dxa"/>
          </w:tcPr>
          <w:p>
            <w:pPr>
              <w:rPr>
                <w:color w:val="auto"/>
              </w:rPr>
            </w:pPr>
            <w:r>
              <w:rPr>
                <w:color w:val="auto"/>
              </w:rPr>
              <w:t>Track vehicle details and service progress through linked records.</w:t>
            </w:r>
          </w:p>
        </w:tc>
      </w:tr>
      <w:tr>
        <w:tblPrEx>
          <w:tblCellMar>
            <w:top w:w="0" w:type="dxa"/>
            <w:left w:w="108" w:type="dxa"/>
            <w:bottom w:w="0" w:type="dxa"/>
            <w:right w:w="108" w:type="dxa"/>
          </w:tblCellMar>
        </w:tblPrEx>
        <w:tc>
          <w:tcPr>
            <w:tcW w:w="4320" w:type="dxa"/>
          </w:tcPr>
          <w:p>
            <w:pPr>
              <w:rPr>
                <w:color w:val="auto"/>
              </w:rPr>
            </w:pPr>
            <w:r>
              <w:rPr>
                <w:color w:val="auto"/>
              </w:rPr>
              <w:t>Appointment Scheduling</w:t>
            </w:r>
          </w:p>
        </w:tc>
        <w:tc>
          <w:tcPr>
            <w:tcW w:w="4320" w:type="dxa"/>
          </w:tcPr>
          <w:p>
            <w:pPr>
              <w:rPr>
                <w:color w:val="auto"/>
              </w:rPr>
            </w:pPr>
            <w:r>
              <w:rPr>
                <w:color w:val="auto"/>
              </w:rPr>
              <w:t>Provide an interface for scheduling and managing customer appointments.</w:t>
            </w:r>
          </w:p>
        </w:tc>
      </w:tr>
      <w:tr>
        <w:tblPrEx>
          <w:tblCellMar>
            <w:top w:w="0" w:type="dxa"/>
            <w:left w:w="108" w:type="dxa"/>
            <w:bottom w:w="0" w:type="dxa"/>
            <w:right w:w="108" w:type="dxa"/>
          </w:tblCellMar>
        </w:tblPrEx>
        <w:tc>
          <w:tcPr>
            <w:tcW w:w="4320" w:type="dxa"/>
          </w:tcPr>
          <w:p>
            <w:pPr>
              <w:rPr>
                <w:color w:val="auto"/>
              </w:rPr>
            </w:pPr>
            <w:r>
              <w:rPr>
                <w:color w:val="auto"/>
              </w:rPr>
              <w:t>Billing &amp; Invoicing</w:t>
            </w:r>
          </w:p>
        </w:tc>
        <w:tc>
          <w:tcPr>
            <w:tcW w:w="4320" w:type="dxa"/>
          </w:tcPr>
          <w:p>
            <w:pPr>
              <w:rPr>
                <w:color w:val="auto"/>
              </w:rPr>
            </w:pPr>
            <w:r>
              <w:rPr>
                <w:color w:val="auto"/>
              </w:rPr>
              <w:t>Generate automated invoices and record payment details after each service.</w:t>
            </w:r>
          </w:p>
        </w:tc>
      </w:tr>
      <w:tr>
        <w:tblPrEx>
          <w:tblCellMar>
            <w:top w:w="0" w:type="dxa"/>
            <w:left w:w="108" w:type="dxa"/>
            <w:bottom w:w="0" w:type="dxa"/>
            <w:right w:w="108" w:type="dxa"/>
          </w:tblCellMar>
        </w:tblPrEx>
        <w:tc>
          <w:tcPr>
            <w:tcW w:w="4320" w:type="dxa"/>
          </w:tcPr>
          <w:p>
            <w:pPr>
              <w:rPr>
                <w:color w:val="auto"/>
              </w:rPr>
            </w:pPr>
            <w:r>
              <w:rPr>
                <w:color w:val="auto"/>
              </w:rPr>
              <w:t>Reports &amp; Feedback</w:t>
            </w:r>
          </w:p>
        </w:tc>
        <w:tc>
          <w:tcPr>
            <w:tcW w:w="4320" w:type="dxa"/>
          </w:tcPr>
          <w:p>
            <w:pPr>
              <w:rPr>
                <w:color w:val="auto"/>
              </w:rPr>
            </w:pPr>
            <w:r>
              <w:rPr>
                <w:color w:val="auto"/>
              </w:rPr>
              <w:t>Create reports and dashboards for insights and collect post-service feedback.</w:t>
            </w:r>
          </w:p>
        </w:tc>
      </w:tr>
    </w:tbl>
    <w:p>
      <w:pPr>
        <w:rPr>
          <w:color w:val="auto"/>
        </w:rPr>
      </w:pPr>
    </w:p>
    <w:p>
      <w:pPr>
        <w:pStyle w:val="3"/>
        <w:rPr>
          <w:color w:val="auto"/>
        </w:rPr>
      </w:pPr>
      <w:r>
        <w:rPr>
          <w:color w:val="auto"/>
        </w:rPr>
        <w:t>2.5 Tools and Salesforce Components</w:t>
      </w:r>
    </w:p>
    <w:p>
      <w:pPr>
        <w:rPr>
          <w:color w:val="auto"/>
        </w:rPr>
      </w:pPr>
      <w:r>
        <w:rPr>
          <w:color w:val="auto"/>
        </w:rPr>
        <w:t>The following Salesforce tools and components are used for the project:</w:t>
      </w:r>
      <w:r>
        <w:rPr>
          <w:color w:val="auto"/>
        </w:rPr>
        <w:br w:type="textWrapping"/>
      </w:r>
      <w:r>
        <w:rPr>
          <w:color w:val="auto"/>
        </w:rPr>
        <w:t>1. Salesforce Sales Cloud and Service Cloud.</w:t>
      </w:r>
      <w:r>
        <w:rPr>
          <w:color w:val="auto"/>
        </w:rPr>
        <w:br w:type="textWrapping"/>
      </w:r>
      <w:r>
        <w:rPr>
          <w:color w:val="auto"/>
        </w:rPr>
        <w:t>2. Custom Objects: Customer, Vehicle, Service, Appointment, Invoice, Feedback.</w:t>
      </w:r>
      <w:r>
        <w:rPr>
          <w:color w:val="auto"/>
        </w:rPr>
        <w:br w:type="textWrapping"/>
      </w:r>
      <w:r>
        <w:rPr>
          <w:color w:val="auto"/>
        </w:rPr>
        <w:t>3. Process Automation: Flows, Workflow Rules, and Approval Processes.</w:t>
      </w:r>
      <w:r>
        <w:rPr>
          <w:color w:val="auto"/>
        </w:rPr>
        <w:br w:type="textWrapping"/>
      </w:r>
      <w:r>
        <w:rPr>
          <w:color w:val="auto"/>
        </w:rPr>
        <w:t>4. Reports and Dashboards for analytics and performance monitoring.</w:t>
      </w:r>
      <w:r>
        <w:rPr>
          <w:color w:val="auto"/>
        </w:rPr>
        <w:br w:type="textWrapping"/>
      </w:r>
      <w:r>
        <w:rPr>
          <w:color w:val="auto"/>
        </w:rPr>
        <w:t>5. Lightning App Builder for user interface customization.</w:t>
      </w:r>
    </w:p>
    <w:p>
      <w:pPr>
        <w:pStyle w:val="3"/>
        <w:rPr>
          <w:color w:val="auto"/>
        </w:rPr>
      </w:pPr>
      <w:r>
        <w:rPr>
          <w:color w:val="auto"/>
        </w:rPr>
        <w:t>2.6 Project Timeline and Milestones</w:t>
      </w:r>
    </w:p>
    <w:tbl>
      <w:tblPr>
        <w:tblStyle w:val="12"/>
        <w:tblW w:w="0" w:type="auto"/>
        <w:tblInd w:w="0" w:type="dxa"/>
        <w:tblLayout w:type="autofit"/>
        <w:tblCellMar>
          <w:top w:w="0" w:type="dxa"/>
          <w:left w:w="108" w:type="dxa"/>
          <w:bottom w:w="0" w:type="dxa"/>
          <w:right w:w="108" w:type="dxa"/>
        </w:tblCellMar>
      </w:tblPr>
      <w:tblGrid>
        <w:gridCol w:w="4320"/>
        <w:gridCol w:w="4320"/>
      </w:tblGrid>
      <w:tr>
        <w:tblPrEx>
          <w:tblCellMar>
            <w:top w:w="0" w:type="dxa"/>
            <w:left w:w="108" w:type="dxa"/>
            <w:bottom w:w="0" w:type="dxa"/>
            <w:right w:w="108" w:type="dxa"/>
          </w:tblCellMar>
        </w:tblPrEx>
        <w:tc>
          <w:tcPr>
            <w:tcW w:w="4320" w:type="dxa"/>
          </w:tcPr>
          <w:p>
            <w:pPr>
              <w:rPr>
                <w:color w:val="auto"/>
              </w:rPr>
            </w:pPr>
            <w:r>
              <w:rPr>
                <w:color w:val="auto"/>
              </w:rPr>
              <w:t>Milestone</w:t>
            </w:r>
          </w:p>
        </w:tc>
        <w:tc>
          <w:tcPr>
            <w:tcW w:w="4320" w:type="dxa"/>
          </w:tcPr>
          <w:p>
            <w:pPr>
              <w:rPr>
                <w:color w:val="auto"/>
              </w:rPr>
            </w:pPr>
            <w:r>
              <w:rPr>
                <w:color w:val="auto"/>
              </w:rPr>
              <w:t>Expected Completion</w:t>
            </w:r>
          </w:p>
        </w:tc>
      </w:tr>
      <w:tr>
        <w:tblPrEx>
          <w:tblCellMar>
            <w:top w:w="0" w:type="dxa"/>
            <w:left w:w="108" w:type="dxa"/>
            <w:bottom w:w="0" w:type="dxa"/>
            <w:right w:w="108" w:type="dxa"/>
          </w:tblCellMar>
        </w:tblPrEx>
        <w:tc>
          <w:tcPr>
            <w:tcW w:w="4320" w:type="dxa"/>
          </w:tcPr>
          <w:p>
            <w:pPr>
              <w:rPr>
                <w:color w:val="auto"/>
              </w:rPr>
            </w:pPr>
            <w:r>
              <w:rPr>
                <w:color w:val="auto"/>
              </w:rPr>
              <w:t>Ideation and Requirement Gathering</w:t>
            </w:r>
          </w:p>
        </w:tc>
        <w:tc>
          <w:tcPr>
            <w:tcW w:w="4320" w:type="dxa"/>
          </w:tcPr>
          <w:p>
            <w:pPr>
              <w:rPr>
                <w:color w:val="auto"/>
              </w:rPr>
            </w:pPr>
            <w:r>
              <w:rPr>
                <w:color w:val="auto"/>
              </w:rPr>
              <w:t>Week 1</w:t>
            </w:r>
          </w:p>
        </w:tc>
      </w:tr>
      <w:tr>
        <w:tblPrEx>
          <w:tblCellMar>
            <w:top w:w="0" w:type="dxa"/>
            <w:left w:w="108" w:type="dxa"/>
            <w:bottom w:w="0" w:type="dxa"/>
            <w:right w:w="108" w:type="dxa"/>
          </w:tblCellMar>
        </w:tblPrEx>
        <w:tc>
          <w:tcPr>
            <w:tcW w:w="4320" w:type="dxa"/>
          </w:tcPr>
          <w:p>
            <w:pPr>
              <w:rPr>
                <w:color w:val="auto"/>
              </w:rPr>
            </w:pPr>
            <w:r>
              <w:rPr>
                <w:color w:val="auto"/>
              </w:rPr>
              <w:t>Design and Planning</w:t>
            </w:r>
          </w:p>
        </w:tc>
        <w:tc>
          <w:tcPr>
            <w:tcW w:w="4320" w:type="dxa"/>
          </w:tcPr>
          <w:p>
            <w:pPr>
              <w:rPr>
                <w:color w:val="auto"/>
              </w:rPr>
            </w:pPr>
            <w:r>
              <w:rPr>
                <w:color w:val="auto"/>
              </w:rPr>
              <w:t>Week 2</w:t>
            </w:r>
          </w:p>
        </w:tc>
      </w:tr>
      <w:tr>
        <w:tblPrEx>
          <w:tblCellMar>
            <w:top w:w="0" w:type="dxa"/>
            <w:left w:w="108" w:type="dxa"/>
            <w:bottom w:w="0" w:type="dxa"/>
            <w:right w:w="108" w:type="dxa"/>
          </w:tblCellMar>
        </w:tblPrEx>
        <w:tc>
          <w:tcPr>
            <w:tcW w:w="4320" w:type="dxa"/>
          </w:tcPr>
          <w:p>
            <w:pPr>
              <w:rPr>
                <w:color w:val="auto"/>
              </w:rPr>
            </w:pPr>
            <w:r>
              <w:rPr>
                <w:color w:val="auto"/>
              </w:rPr>
              <w:t>Development and Configuration</w:t>
            </w:r>
          </w:p>
        </w:tc>
        <w:tc>
          <w:tcPr>
            <w:tcW w:w="4320" w:type="dxa"/>
          </w:tcPr>
          <w:p>
            <w:pPr>
              <w:rPr>
                <w:color w:val="auto"/>
              </w:rPr>
            </w:pPr>
            <w:r>
              <w:rPr>
                <w:color w:val="auto"/>
              </w:rPr>
              <w:t>Weeks 3–4</w:t>
            </w:r>
          </w:p>
        </w:tc>
      </w:tr>
      <w:tr>
        <w:tblPrEx>
          <w:tblCellMar>
            <w:top w:w="0" w:type="dxa"/>
            <w:left w:w="108" w:type="dxa"/>
            <w:bottom w:w="0" w:type="dxa"/>
            <w:right w:w="108" w:type="dxa"/>
          </w:tblCellMar>
        </w:tblPrEx>
        <w:tc>
          <w:tcPr>
            <w:tcW w:w="4320" w:type="dxa"/>
          </w:tcPr>
          <w:p>
            <w:pPr>
              <w:rPr>
                <w:color w:val="auto"/>
              </w:rPr>
            </w:pPr>
            <w:r>
              <w:rPr>
                <w:color w:val="auto"/>
              </w:rPr>
              <w:t>Testing and User Acceptance</w:t>
            </w:r>
          </w:p>
        </w:tc>
        <w:tc>
          <w:tcPr>
            <w:tcW w:w="4320" w:type="dxa"/>
          </w:tcPr>
          <w:p>
            <w:pPr>
              <w:rPr>
                <w:color w:val="auto"/>
              </w:rPr>
            </w:pPr>
            <w:r>
              <w:rPr>
                <w:color w:val="auto"/>
              </w:rPr>
              <w:t>Week 5</w:t>
            </w:r>
          </w:p>
        </w:tc>
      </w:tr>
      <w:tr>
        <w:tblPrEx>
          <w:tblCellMar>
            <w:top w:w="0" w:type="dxa"/>
            <w:left w:w="108" w:type="dxa"/>
            <w:bottom w:w="0" w:type="dxa"/>
            <w:right w:w="108" w:type="dxa"/>
          </w:tblCellMar>
        </w:tblPrEx>
        <w:tc>
          <w:tcPr>
            <w:tcW w:w="4320" w:type="dxa"/>
          </w:tcPr>
          <w:p>
            <w:pPr>
              <w:rPr>
                <w:color w:val="auto"/>
              </w:rPr>
            </w:pPr>
            <w:r>
              <w:rPr>
                <w:color w:val="auto"/>
              </w:rPr>
              <w:t>Deployment and Final Review</w:t>
            </w:r>
          </w:p>
        </w:tc>
        <w:tc>
          <w:tcPr>
            <w:tcW w:w="4320" w:type="dxa"/>
          </w:tcPr>
          <w:p>
            <w:pPr>
              <w:rPr>
                <w:color w:val="auto"/>
              </w:rPr>
            </w:pPr>
            <w:r>
              <w:rPr>
                <w:color w:val="auto"/>
              </w:rPr>
              <w:t>Week 6</w:t>
            </w:r>
          </w:p>
        </w:tc>
      </w:tr>
    </w:tbl>
    <w:p>
      <w:pPr>
        <w:rPr>
          <w:color w:val="auto"/>
        </w:rPr>
      </w:pPr>
    </w:p>
    <w:p>
      <w:pPr>
        <w:pStyle w:val="3"/>
        <w:rPr>
          <w:color w:val="auto"/>
        </w:rPr>
      </w:pPr>
      <w:r>
        <w:rPr>
          <w:color w:val="auto"/>
        </w:rPr>
        <w:t>2.7 Roles and Responsibilities</w:t>
      </w:r>
    </w:p>
    <w:tbl>
      <w:tblPr>
        <w:tblStyle w:val="12"/>
        <w:tblW w:w="0" w:type="auto"/>
        <w:tblInd w:w="0" w:type="dxa"/>
        <w:tblLayout w:type="autofit"/>
        <w:tblCellMar>
          <w:top w:w="0" w:type="dxa"/>
          <w:left w:w="108" w:type="dxa"/>
          <w:bottom w:w="0" w:type="dxa"/>
          <w:right w:w="108" w:type="dxa"/>
        </w:tblCellMar>
      </w:tblPr>
      <w:tblGrid>
        <w:gridCol w:w="4320"/>
        <w:gridCol w:w="4320"/>
      </w:tblGrid>
      <w:tr>
        <w:tblPrEx>
          <w:tblCellMar>
            <w:top w:w="0" w:type="dxa"/>
            <w:left w:w="108" w:type="dxa"/>
            <w:bottom w:w="0" w:type="dxa"/>
            <w:right w:w="108" w:type="dxa"/>
          </w:tblCellMar>
        </w:tblPrEx>
        <w:tc>
          <w:tcPr>
            <w:tcW w:w="4320" w:type="dxa"/>
          </w:tcPr>
          <w:p>
            <w:pPr>
              <w:rPr>
                <w:color w:val="auto"/>
              </w:rPr>
            </w:pPr>
            <w:r>
              <w:rPr>
                <w:color w:val="auto"/>
              </w:rPr>
              <w:t>Role</w:t>
            </w:r>
          </w:p>
        </w:tc>
        <w:tc>
          <w:tcPr>
            <w:tcW w:w="4320" w:type="dxa"/>
          </w:tcPr>
          <w:p>
            <w:pPr>
              <w:rPr>
                <w:color w:val="auto"/>
              </w:rPr>
            </w:pPr>
            <w:r>
              <w:rPr>
                <w:color w:val="auto"/>
              </w:rPr>
              <w:t>Responsibilities</w:t>
            </w:r>
          </w:p>
        </w:tc>
      </w:tr>
      <w:tr>
        <w:tblPrEx>
          <w:tblCellMar>
            <w:top w:w="0" w:type="dxa"/>
            <w:left w:w="108" w:type="dxa"/>
            <w:bottom w:w="0" w:type="dxa"/>
            <w:right w:w="108" w:type="dxa"/>
          </w:tblCellMar>
        </w:tblPrEx>
        <w:tc>
          <w:tcPr>
            <w:tcW w:w="4320" w:type="dxa"/>
          </w:tcPr>
          <w:p>
            <w:pPr>
              <w:rPr>
                <w:color w:val="auto"/>
              </w:rPr>
            </w:pPr>
            <w:r>
              <w:rPr>
                <w:color w:val="auto"/>
              </w:rPr>
              <w:t>Project Manager</w:t>
            </w:r>
          </w:p>
        </w:tc>
        <w:tc>
          <w:tcPr>
            <w:tcW w:w="4320" w:type="dxa"/>
          </w:tcPr>
          <w:p>
            <w:pPr>
              <w:rPr>
                <w:color w:val="auto"/>
              </w:rPr>
            </w:pPr>
            <w:r>
              <w:rPr>
                <w:color w:val="auto"/>
              </w:rPr>
              <w:t>Oversees project execution, milestones, and communication between team members.</w:t>
            </w:r>
          </w:p>
        </w:tc>
      </w:tr>
      <w:tr>
        <w:tblPrEx>
          <w:tblCellMar>
            <w:top w:w="0" w:type="dxa"/>
            <w:left w:w="108" w:type="dxa"/>
            <w:bottom w:w="0" w:type="dxa"/>
            <w:right w:w="108" w:type="dxa"/>
          </w:tblCellMar>
        </w:tblPrEx>
        <w:tc>
          <w:tcPr>
            <w:tcW w:w="4320" w:type="dxa"/>
          </w:tcPr>
          <w:p>
            <w:pPr>
              <w:rPr>
                <w:color w:val="auto"/>
              </w:rPr>
            </w:pPr>
            <w:r>
              <w:rPr>
                <w:color w:val="auto"/>
              </w:rPr>
              <w:t>Salesforce Developer</w:t>
            </w:r>
          </w:p>
        </w:tc>
        <w:tc>
          <w:tcPr>
            <w:tcW w:w="4320" w:type="dxa"/>
          </w:tcPr>
          <w:p>
            <w:pPr>
              <w:rPr>
                <w:color w:val="auto"/>
              </w:rPr>
            </w:pPr>
            <w:r>
              <w:rPr>
                <w:color w:val="auto"/>
              </w:rPr>
              <w:t>Creates and configures Salesforce objects, Flows, and reports.</w:t>
            </w:r>
          </w:p>
        </w:tc>
      </w:tr>
      <w:tr>
        <w:tblPrEx>
          <w:tblCellMar>
            <w:top w:w="0" w:type="dxa"/>
            <w:left w:w="108" w:type="dxa"/>
            <w:bottom w:w="0" w:type="dxa"/>
            <w:right w:w="108" w:type="dxa"/>
          </w:tblCellMar>
        </w:tblPrEx>
        <w:tc>
          <w:tcPr>
            <w:tcW w:w="4320" w:type="dxa"/>
          </w:tcPr>
          <w:p>
            <w:pPr>
              <w:rPr>
                <w:color w:val="auto"/>
              </w:rPr>
            </w:pPr>
            <w:r>
              <w:rPr>
                <w:color w:val="auto"/>
              </w:rPr>
              <w:t>QA Engineer</w:t>
            </w:r>
          </w:p>
        </w:tc>
        <w:tc>
          <w:tcPr>
            <w:tcW w:w="4320" w:type="dxa"/>
          </w:tcPr>
          <w:p>
            <w:pPr>
              <w:rPr>
                <w:color w:val="auto"/>
              </w:rPr>
            </w:pPr>
            <w:r>
              <w:rPr>
                <w:color w:val="auto"/>
              </w:rPr>
              <w:t>Tests system functionality and ensures quality assurance.</w:t>
            </w:r>
          </w:p>
        </w:tc>
      </w:tr>
      <w:tr>
        <w:tblPrEx>
          <w:tblCellMar>
            <w:top w:w="0" w:type="dxa"/>
            <w:left w:w="108" w:type="dxa"/>
            <w:bottom w:w="0" w:type="dxa"/>
            <w:right w:w="108" w:type="dxa"/>
          </w:tblCellMar>
        </w:tblPrEx>
        <w:tc>
          <w:tcPr>
            <w:tcW w:w="4320" w:type="dxa"/>
          </w:tcPr>
          <w:p>
            <w:pPr>
              <w:rPr>
                <w:color w:val="auto"/>
              </w:rPr>
            </w:pPr>
            <w:r>
              <w:rPr>
                <w:color w:val="auto"/>
              </w:rPr>
              <w:t>UI/UX Designer</w:t>
            </w:r>
          </w:p>
        </w:tc>
        <w:tc>
          <w:tcPr>
            <w:tcW w:w="4320" w:type="dxa"/>
          </w:tcPr>
          <w:p>
            <w:pPr>
              <w:rPr>
                <w:color w:val="auto"/>
              </w:rPr>
            </w:pPr>
            <w:r>
              <w:rPr>
                <w:color w:val="auto"/>
              </w:rPr>
              <w:t>Designs user-friendly Lightning pages and dashboards.</w:t>
            </w:r>
          </w:p>
        </w:tc>
      </w:tr>
      <w:tr>
        <w:tblPrEx>
          <w:tblCellMar>
            <w:top w:w="0" w:type="dxa"/>
            <w:left w:w="108" w:type="dxa"/>
            <w:bottom w:w="0" w:type="dxa"/>
            <w:right w:w="108" w:type="dxa"/>
          </w:tblCellMar>
        </w:tblPrEx>
        <w:tc>
          <w:tcPr>
            <w:tcW w:w="4320" w:type="dxa"/>
          </w:tcPr>
          <w:p>
            <w:pPr>
              <w:rPr>
                <w:color w:val="auto"/>
              </w:rPr>
            </w:pPr>
            <w:r>
              <w:rPr>
                <w:color w:val="auto"/>
              </w:rPr>
              <w:t>Documentation Lead</w:t>
            </w:r>
          </w:p>
        </w:tc>
        <w:tc>
          <w:tcPr>
            <w:tcW w:w="4320" w:type="dxa"/>
          </w:tcPr>
          <w:p>
            <w:pPr>
              <w:rPr>
                <w:color w:val="auto"/>
              </w:rPr>
            </w:pPr>
            <w:r>
              <w:rPr>
                <w:color w:val="auto"/>
              </w:rPr>
              <w:t>Prepares technical and phase-wise documentation.</w:t>
            </w:r>
          </w:p>
        </w:tc>
      </w:tr>
    </w:tbl>
    <w:p>
      <w:pPr>
        <w:rPr>
          <w:color w:val="auto"/>
        </w:rPr>
      </w:pPr>
    </w:p>
    <w:p>
      <w:pPr>
        <w:pStyle w:val="3"/>
        <w:rPr>
          <w:color w:val="auto"/>
        </w:rPr>
      </w:pPr>
      <w:r>
        <w:rPr>
          <w:color w:val="auto"/>
        </w:rPr>
        <w:t>2.8 Risk Management and Mitigation</w:t>
      </w:r>
    </w:p>
    <w:p>
      <w:pPr>
        <w:rPr>
          <w:color w:val="auto"/>
        </w:rPr>
      </w:pPr>
      <w:r>
        <w:rPr>
          <w:color w:val="auto"/>
        </w:rPr>
        <w:t>1. Data inconsistency: Mitigated using validation rules and field-level security.</w:t>
      </w:r>
      <w:r>
        <w:rPr>
          <w:color w:val="auto"/>
        </w:rPr>
        <w:br w:type="textWrapping"/>
      </w:r>
      <w:r>
        <w:rPr>
          <w:color w:val="auto"/>
        </w:rPr>
        <w:t>2. User adoption issues: Addressed through training sessions and guidance materials.</w:t>
      </w:r>
      <w:r>
        <w:rPr>
          <w:color w:val="auto"/>
        </w:rPr>
        <w:br w:type="textWrapping"/>
      </w:r>
      <w:r>
        <w:rPr>
          <w:color w:val="auto"/>
        </w:rPr>
        <w:t>3. Workflow errors: Resolved by pre-deployment testing in Salesforce sandbox.</w:t>
      </w:r>
      <w:r>
        <w:rPr>
          <w:color w:val="auto"/>
        </w:rPr>
        <w:br w:type="textWrapping"/>
      </w:r>
      <w:r>
        <w:rPr>
          <w:color w:val="auto"/>
        </w:rPr>
        <w:t>4. Timeline delays: Controlled through Agile sprints and weekly status reviews.</w:t>
      </w:r>
    </w:p>
    <w:p>
      <w:pPr>
        <w:pStyle w:val="3"/>
        <w:rPr>
          <w:color w:val="auto"/>
        </w:rPr>
      </w:pPr>
      <w:r>
        <w:rPr>
          <w:color w:val="auto"/>
        </w:rPr>
        <w:t>2.9 Expected Outcome</w:t>
      </w:r>
    </w:p>
    <w:p>
      <w:pPr>
        <w:rPr>
          <w:color w:val="auto"/>
        </w:rPr>
      </w:pPr>
      <w:r>
        <w:rPr>
          <w:color w:val="auto"/>
        </w:rPr>
        <w:t>At the end of the Project Planning Phase, a complete roadmap for implementation is developed, defining project scope, deliverables, responsibilities, and timelines. This plan ensures a structured and efficient approach to implementing the Garage Management System in Salesforce.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rbel">
    <w:panose1 w:val="020B0503020204020204"/>
    <w:charset w:val="00"/>
    <w:family w:val="auto"/>
    <w:pitch w:val="default"/>
    <w:sig w:usb0="A00002EF" w:usb1="4000A44B" w:usb2="00000000" w:usb3="00000000" w:csb0="2000019F" w:csb1="00000000"/>
  </w:font>
  <w:font w:name="Sitka Heading">
    <w:panose1 w:val="02000505000000020004"/>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4F7A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S.Selvalakshmi S.</cp:lastModifiedBy>
  <dcterms:modified xsi:type="dcterms:W3CDTF">2025-11-04T17:36:15Z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E0DCA0FC906843CFB6C5428731BE9D06_13</vt:lpwstr>
  </property>
</Properties>
</file>