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rFonts w:ascii="Calibri Light" w:hAnsi="Calibri Light"/>
          <w:color w:val="1F3864"/>
          <w:sz w:val="80"/>
        </w:rPr>
        <w:t>AgentSwitch</w:t>
      </w:r>
    </w:p>
    <w:p>
      <w:pPr>
        <w:spacing w:after="80"/>
        <w:jc w:val="center"/>
      </w:pPr>
      <w:r>
        <w:rPr>
          <w:rFonts w:ascii="Calibri Light" w:hAnsi="Calibri Light"/>
          <w:color w:val="2F5496"/>
          <w:sz w:val="36"/>
        </w:rPr>
        <w:t>CRM and Multiagent Platform</w:t>
      </w:r>
    </w:p>
    <w:p>
      <w:pPr>
        <w:spacing w:after="360"/>
        <w:jc w:val="center"/>
      </w:pPr>
      <w:r>
        <w:rPr>
          <w:b/>
          <w:color w:val="44546A"/>
          <w:sz w:val="22"/>
        </w:rPr>
        <w:t>COMPETITIVE GAP REPORT</w:t>
      </w:r>
    </w:p>
    <w:p>
      <w:pPr>
        <w:spacing w:after="560"/>
        <w:jc w:val="center"/>
      </w:pPr>
      <w:r>
        <w:rPr>
          <w:i/>
          <w:color w:val="69707C"/>
          <w:sz w:val="22"/>
        </w:rPr>
        <w:t>What the MCP catalog exposes today, where it trails the platforms it will be compared against, and what to build next.</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c>
          <w:tcPr>
            <w:tcW w:type="dxa" w:w="4873"/>
          </w:tcPr>
          <w:p>
            <w:pPr>
              <w:spacing w:after="40" w:before="40"/>
              <w:jc w:val="left"/>
            </w:pPr>
            <w:r>
              <w:rPr>
                <w:b/>
                <w:sz w:val="19"/>
              </w:rPr>
              <w:t>Instance</w:t>
            </w:r>
          </w:p>
        </w:tc>
        <w:tc>
          <w:tcPr>
            <w:tcW w:type="dxa" w:w="4873"/>
          </w:tcPr>
          <w:p>
            <w:pPr>
              <w:spacing w:after="40" w:before="40"/>
              <w:jc w:val="left"/>
            </w:pPr>
            <w:r>
              <w:rPr>
                <w:sz w:val="19"/>
              </w:rPr>
              <w:t xml:space="preserve">Suryodaya (India) — </w:t>
            </w:r>
            <w:r>
              <w:rPr>
                <w:rFonts w:ascii="Consolas" w:hAnsi="Consolas"/>
                <w:color w:val="9C274E"/>
                <w:sz w:val="18"/>
              </w:rPr>
              <w:t>https://agentswitch.theschoolofai.in</w:t>
            </w:r>
          </w:p>
        </w:tc>
      </w:tr>
      <w:tr>
        <w:tc>
          <w:tcPr>
            <w:tcW w:type="dxa" w:w="4873"/>
            <w:shd w:val="clear" w:color="auto" w:fill="F4F6F9"/>
          </w:tcPr>
          <w:p>
            <w:pPr>
              <w:spacing w:after="40" w:before="40"/>
              <w:jc w:val="left"/>
            </w:pPr>
            <w:r>
              <w:rPr>
                <w:b/>
                <w:sz w:val="19"/>
              </w:rPr>
              <w:t>Evidence captured</w:t>
            </w:r>
          </w:p>
        </w:tc>
        <w:tc>
          <w:tcPr>
            <w:tcW w:type="dxa" w:w="4873"/>
            <w:shd w:val="clear" w:color="auto" w:fill="F4F6F9"/>
          </w:tcPr>
          <w:p>
            <w:pPr>
              <w:spacing w:after="40" w:before="40"/>
              <w:jc w:val="left"/>
            </w:pPr>
            <w:r>
              <w:rPr>
                <w:sz w:val="19"/>
              </w:rPr>
              <w:t xml:space="preserve">2026-09-17 via </w:t>
            </w:r>
            <w:r>
              <w:rPr>
                <w:rFonts w:ascii="Consolas" w:hAnsi="Consolas"/>
                <w:color w:val="9C274E"/>
                <w:sz w:val="18"/>
              </w:rPr>
              <w:t>initialize</w:t>
            </w:r>
            <w:r>
              <w:rPr>
                <w:sz w:val="19"/>
              </w:rPr>
              <w:t xml:space="preserve">, </w:t>
            </w:r>
            <w:r>
              <w:rPr>
                <w:rFonts w:ascii="Consolas" w:hAnsi="Consolas"/>
                <w:color w:val="9C274E"/>
                <w:sz w:val="18"/>
              </w:rPr>
              <w:t>tools/list</w:t>
            </w:r>
            <w:r>
              <w:rPr>
                <w:sz w:val="19"/>
              </w:rPr>
              <w:t xml:space="preserve"> and live </w:t>
            </w:r>
            <w:r>
              <w:rPr>
                <w:rFonts w:ascii="Consolas" w:hAnsi="Consolas"/>
                <w:color w:val="9C274E"/>
                <w:sz w:val="18"/>
              </w:rPr>
              <w:t>tools/call</w:t>
            </w:r>
            <w:r>
              <w:rPr>
                <w:sz w:val="19"/>
              </w:rPr>
              <w:t xml:space="preserve"> probes</w:t>
            </w:r>
          </w:p>
        </w:tc>
      </w:tr>
      <w:tr>
        <w:tc>
          <w:tcPr>
            <w:tcW w:type="dxa" w:w="4873"/>
          </w:tcPr>
          <w:p>
            <w:pPr>
              <w:spacing w:after="40" w:before="40"/>
              <w:jc w:val="left"/>
            </w:pPr>
            <w:r>
              <w:rPr>
                <w:b/>
                <w:sz w:val="19"/>
              </w:rPr>
              <w:t>Raw data</w:t>
            </w:r>
          </w:p>
        </w:tc>
        <w:tc>
          <w:tcPr>
            <w:tcW w:type="dxa" w:w="4873"/>
          </w:tcPr>
          <w:p>
            <w:pPr>
              <w:spacing w:after="40" w:before="40"/>
              <w:jc w:val="left"/>
            </w:pPr>
            <w:hyperlink r:id="rId10">
              <w:r>
                <w:rPr>
                  <w:color w:val="2F5496"/>
                  <w:u w:val="single"/>
                </w:rPr>
                <w:t>tools-list.json</w:t>
              </w:r>
            </w:hyperlink>
            <w:r>
              <w:rPr>
                <w:sz w:val="19"/>
              </w:rPr>
              <w:t xml:space="preserve"> · </w:t>
            </w:r>
            <w:hyperlink r:id="rId11">
              <w:r>
                <w:rPr>
                  <w:color w:val="2F5496"/>
                  <w:u w:val="single"/>
                </w:rPr>
                <w:t>sales-order-list.json</w:t>
              </w:r>
            </w:hyperlink>
          </w:p>
        </w:tc>
      </w:tr>
      <w:tr>
        <w:tc>
          <w:tcPr>
            <w:tcW w:type="dxa" w:w="4873"/>
            <w:shd w:val="clear" w:color="auto" w:fill="F4F6F9"/>
          </w:tcPr>
          <w:p>
            <w:pPr>
              <w:spacing w:after="40" w:before="40"/>
              <w:jc w:val="left"/>
            </w:pPr>
            <w:r>
              <w:rPr>
                <w:b/>
                <w:sz w:val="19"/>
              </w:rPr>
              <w:t>Caller scope</w:t>
            </w:r>
          </w:p>
        </w:tc>
        <w:tc>
          <w:tcPr>
            <w:tcW w:type="dxa" w:w="4873"/>
            <w:shd w:val="clear" w:color="auto" w:fill="F4F6F9"/>
          </w:tcPr>
          <w:p>
            <w:pPr>
              <w:spacing w:after="40" w:before="40"/>
              <w:jc w:val="left"/>
            </w:pPr>
            <w:r>
              <w:rPr>
                <w:rFonts w:ascii="Consolas" w:hAnsi="Consolas"/>
                <w:color w:val="9C274E"/>
                <w:sz w:val="18"/>
              </w:rPr>
              <w:t>team06@theschoolofai.in</w:t>
            </w:r>
            <w:r>
              <w:rPr>
                <w:sz w:val="19"/>
              </w:rPr>
              <w:t xml:space="preserve"> — roles </w:t>
            </w:r>
            <w:r>
              <w:rPr>
                <w:rFonts w:ascii="Consolas" w:hAnsi="Consolas"/>
                <w:color w:val="9C274E"/>
                <w:sz w:val="18"/>
              </w:rPr>
              <w:t>sales_user</w:t>
            </w:r>
            <w:r>
              <w:rPr>
                <w:sz w:val="19"/>
              </w:rPr>
              <w:t xml:space="preserve">, </w:t>
            </w:r>
            <w:r>
              <w:rPr>
                <w:rFonts w:ascii="Consolas" w:hAnsi="Consolas"/>
                <w:color w:val="9C274E"/>
                <w:sz w:val="18"/>
              </w:rPr>
              <w:t>user</w:t>
            </w:r>
            <w:r>
              <w:rPr>
                <w:sz w:val="19"/>
              </w:rPr>
              <w:t xml:space="preserve">, </w:t>
            </w:r>
            <w:r>
              <w:rPr>
                <w:rFonts w:ascii="Consolas" w:hAnsi="Consolas"/>
                <w:color w:val="9C274E"/>
                <w:sz w:val="18"/>
              </w:rPr>
              <w:t>agent_user</w:t>
            </w:r>
            <w:r>
              <w:rPr>
                <w:sz w:val="19"/>
              </w:rPr>
              <w:t xml:space="preserve">; apps </w:t>
            </w:r>
            <w:r>
              <w:rPr>
                <w:rFonts w:ascii="Consolas" w:hAnsi="Consolas"/>
                <w:color w:val="9C274E"/>
                <w:sz w:val="18"/>
              </w:rPr>
              <w:t>crm</w:t>
            </w:r>
            <w:r>
              <w:rPr>
                <w:sz w:val="19"/>
              </w:rPr>
              <w:t xml:space="preserve">, </w:t>
            </w:r>
            <w:r>
              <w:rPr>
                <w:rFonts w:ascii="Consolas" w:hAnsi="Consolas"/>
                <w:color w:val="9C274E"/>
                <w:sz w:val="18"/>
              </w:rPr>
              <w:t>agent</w:t>
            </w:r>
          </w:p>
        </w:tc>
      </w:tr>
      <w:tr>
        <w:tc>
          <w:tcPr>
            <w:tcW w:type="dxa" w:w="4873"/>
          </w:tcPr>
          <w:p>
            <w:pPr>
              <w:spacing w:after="40" w:before="40"/>
              <w:jc w:val="left"/>
            </w:pPr>
            <w:r>
              <w:rPr>
                <w:b/>
                <w:sz w:val="19"/>
              </w:rPr>
              <w:t>Interactive version</w:t>
            </w:r>
          </w:p>
        </w:tc>
        <w:tc>
          <w:tcPr>
            <w:tcW w:type="dxa" w:w="4873"/>
          </w:tcPr>
          <w:p>
            <w:pPr>
              <w:spacing w:after="40" w:before="40"/>
              <w:jc w:val="left"/>
            </w:pPr>
            <w:r>
              <w:rPr>
                <w:rFonts w:ascii="Consolas" w:hAnsi="Consolas"/>
                <w:color w:val="9C274E"/>
                <w:sz w:val="18"/>
              </w:rPr>
              <w:t>~/.cursor/projects/c-Users-Padmanabh-OneDrive-Documents-Agent-Switch/canvases/gap-report.canvas.tsx</w:t>
            </w:r>
          </w:p>
        </w:tc>
      </w:tr>
      <w:tr>
        <w:tc>
          <w:tcPr>
            <w:tcW w:type="dxa" w:w="4873"/>
            <w:shd w:val="clear" w:color="auto" w:fill="F4F6F9"/>
          </w:tcPr>
          <w:p>
            <w:pPr>
              <w:spacing w:after="40" w:before="40"/>
              <w:jc w:val="left"/>
            </w:pPr>
            <w:r>
              <w:rPr>
                <w:b/>
                <w:sz w:val="19"/>
              </w:rPr>
              <w:t>Delivery window</w:t>
            </w:r>
          </w:p>
        </w:tc>
        <w:tc>
          <w:tcPr>
            <w:tcW w:type="dxa" w:w="4873"/>
            <w:shd w:val="clear" w:color="auto" w:fill="F4F6F9"/>
          </w:tcPr>
          <w:p>
            <w:pPr>
              <w:spacing w:after="40" w:before="40"/>
              <w:jc w:val="left"/>
            </w:pPr>
            <w:r>
              <w:rPr>
                <w:sz w:val="19"/>
              </w:rPr>
              <w:t xml:space="preserve">3 weeks · 2–3 engineers · 13 of 30 gaps addressed — see </w:t>
            </w:r>
            <w:hyperlink r:id="rId12">
              <w:r>
                <w:rPr>
                  <w:color w:val="2F5496"/>
                  <w:u w:val="single"/>
                </w:rPr>
                <w:t>section 7</w:t>
              </w:r>
            </w:hyperlink>
          </w:p>
        </w:tc>
      </w:tr>
    </w:tbl>
    <w:p>
      <w:pPr>
        <w:spacing w:after="80"/>
      </w:pPr>
    </w:p>
    <w:p>
      <w:r>
        <w:br w:type="page"/>
      </w:r>
    </w:p>
    <w:p>
      <w:pPr>
        <w:spacing w:after="200"/>
      </w:pPr>
      <w:r>
        <w:rPr>
          <w:rFonts w:ascii="Calibri Light" w:hAnsi="Calibri Light"/>
          <w:color w:val="1F3864"/>
          <w:sz w:val="40"/>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2"/>
      </w:pPr>
      <w:r>
        <w:t>1. Executive summary</w:t>
      </w:r>
    </w:p>
    <w:p>
      <w:pPr>
        <w:pStyle w:val="Heading3"/>
      </w:pPr>
      <w:r>
        <w:t>At a glance</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rPr>
          <w:tblHeader w:val="true"/>
        </w:trPr>
        <w:tc>
          <w:tcPr>
            <w:tcW w:type="dxa" w:w="4873"/>
            <w:shd w:val="clear" w:color="auto" w:fill="1F3864"/>
          </w:tcPr>
          <w:p>
            <w:pPr>
              <w:spacing w:after="40" w:before="40"/>
              <w:jc w:val="left"/>
            </w:pPr>
            <w:r>
              <w:rPr>
                <w:b/>
                <w:color w:val="FFFFFF"/>
                <w:sz w:val="19"/>
              </w:rPr>
              <w:t>Metric</w:t>
            </w:r>
          </w:p>
        </w:tc>
        <w:tc>
          <w:tcPr>
            <w:tcW w:type="dxa" w:w="4873"/>
            <w:shd w:val="clear" w:color="auto" w:fill="1F3864"/>
          </w:tcPr>
          <w:p>
            <w:pPr>
              <w:spacing w:after="40" w:before="40"/>
              <w:jc w:val="right"/>
            </w:pPr>
            <w:r>
              <w:rPr>
                <w:b/>
                <w:color w:val="FFFFFF"/>
                <w:sz w:val="19"/>
              </w:rPr>
              <w:t>Value</w:t>
            </w:r>
          </w:p>
        </w:tc>
      </w:tr>
      <w:tr>
        <w:tc>
          <w:tcPr>
            <w:tcW w:type="dxa" w:w="4873"/>
          </w:tcPr>
          <w:p>
            <w:pPr>
              <w:spacing w:after="40" w:before="40"/>
              <w:jc w:val="left"/>
            </w:pPr>
            <w:r>
              <w:rPr>
                <w:sz w:val="19"/>
              </w:rPr>
              <w:t>MCP tools exposed</w:t>
            </w:r>
          </w:p>
        </w:tc>
        <w:tc>
          <w:tcPr>
            <w:tcW w:type="dxa" w:w="4873"/>
          </w:tcPr>
          <w:p>
            <w:pPr>
              <w:spacing w:after="40" w:before="40"/>
              <w:jc w:val="right"/>
            </w:pPr>
            <w:r>
              <w:rPr>
                <w:b/>
                <w:sz w:val="19"/>
              </w:rPr>
              <w:t>247</w:t>
            </w:r>
          </w:p>
        </w:tc>
      </w:tr>
      <w:tr>
        <w:tc>
          <w:tcPr>
            <w:tcW w:type="dxa" w:w="4873"/>
            <w:shd w:val="clear" w:color="auto" w:fill="F4F6F9"/>
          </w:tcPr>
          <w:p>
            <w:pPr>
              <w:spacing w:after="40" w:before="40"/>
              <w:jc w:val="left"/>
            </w:pPr>
            <w:r>
              <w:rPr>
                <w:sz w:val="19"/>
              </w:rPr>
              <w:t>Entities</w:t>
            </w:r>
          </w:p>
        </w:tc>
        <w:tc>
          <w:tcPr>
            <w:tcW w:type="dxa" w:w="4873"/>
            <w:shd w:val="clear" w:color="auto" w:fill="F4F6F9"/>
          </w:tcPr>
          <w:p>
            <w:pPr>
              <w:spacing w:after="40" w:before="40"/>
              <w:jc w:val="right"/>
            </w:pPr>
            <w:r>
              <w:rPr>
                <w:b/>
                <w:sz w:val="19"/>
              </w:rPr>
              <w:t>51</w:t>
            </w:r>
          </w:p>
        </w:tc>
      </w:tr>
      <w:tr>
        <w:tc>
          <w:tcPr>
            <w:tcW w:type="dxa" w:w="4873"/>
          </w:tcPr>
          <w:p>
            <w:pPr>
              <w:spacing w:after="40" w:before="40"/>
              <w:jc w:val="left"/>
            </w:pPr>
            <w:r>
              <w:rPr>
                <w:sz w:val="19"/>
              </w:rPr>
              <w:t>Entities that are read-only</w:t>
            </w:r>
          </w:p>
        </w:tc>
        <w:tc>
          <w:tcPr>
            <w:tcW w:type="dxa" w:w="4873"/>
          </w:tcPr>
          <w:p>
            <w:pPr>
              <w:spacing w:after="40" w:before="40"/>
              <w:jc w:val="right"/>
            </w:pPr>
            <w:r>
              <w:rPr>
                <w:b/>
                <w:sz w:val="19"/>
              </w:rPr>
              <w:t>25</w:t>
            </w:r>
            <w:r>
              <w:rPr>
                <w:sz w:val="19"/>
              </w:rPr>
              <w:t xml:space="preserve"> (49%)</w:t>
            </w:r>
          </w:p>
        </w:tc>
      </w:tr>
      <w:tr>
        <w:tc>
          <w:tcPr>
            <w:tcW w:type="dxa" w:w="4873"/>
            <w:shd w:val="clear" w:color="auto" w:fill="F4F6F9"/>
          </w:tcPr>
          <w:p>
            <w:pPr>
              <w:spacing w:after="40" w:before="40"/>
              <w:jc w:val="left"/>
            </w:pPr>
            <w:r>
              <w:rPr>
                <w:sz w:val="19"/>
              </w:rPr>
              <w:t>Entities supporting delete</w:t>
            </w:r>
          </w:p>
        </w:tc>
        <w:tc>
          <w:tcPr>
            <w:tcW w:type="dxa" w:w="4873"/>
            <w:shd w:val="clear" w:color="auto" w:fill="F4F6F9"/>
          </w:tcPr>
          <w:p>
            <w:pPr>
              <w:spacing w:after="40" w:before="40"/>
              <w:jc w:val="right"/>
            </w:pPr>
            <w:r>
              <w:rPr>
                <w:b/>
                <w:sz w:val="19"/>
              </w:rPr>
              <w:t>6</w:t>
            </w:r>
          </w:p>
        </w:tc>
      </w:tr>
      <w:tr>
        <w:tc>
          <w:tcPr>
            <w:tcW w:type="dxa" w:w="4873"/>
          </w:tcPr>
          <w:p>
            <w:pPr>
              <w:spacing w:after="40" w:before="40"/>
              <w:jc w:val="left"/>
            </w:pPr>
            <w:r>
              <w:rPr>
                <w:sz w:val="19"/>
              </w:rPr>
              <w:t>Business domains with no entity at all</w:t>
            </w:r>
          </w:p>
        </w:tc>
        <w:tc>
          <w:tcPr>
            <w:tcW w:type="dxa" w:w="4873"/>
          </w:tcPr>
          <w:p>
            <w:pPr>
              <w:spacing w:after="40" w:before="40"/>
              <w:jc w:val="right"/>
            </w:pPr>
            <w:r>
              <w:rPr>
                <w:b/>
                <w:sz w:val="19"/>
              </w:rPr>
              <w:t>6</w:t>
            </w:r>
          </w:p>
        </w:tc>
      </w:tr>
      <w:tr>
        <w:tc>
          <w:tcPr>
            <w:tcW w:type="dxa" w:w="4873"/>
            <w:shd w:val="clear" w:color="auto" w:fill="F4F6F9"/>
          </w:tcPr>
          <w:p>
            <w:pPr>
              <w:spacing w:after="40" w:before="40"/>
              <w:jc w:val="left"/>
            </w:pPr>
            <w:r>
              <w:rPr>
                <w:sz w:val="19"/>
              </w:rPr>
              <w:t>Gaps identified</w:t>
            </w:r>
          </w:p>
        </w:tc>
        <w:tc>
          <w:tcPr>
            <w:tcW w:type="dxa" w:w="4873"/>
            <w:shd w:val="clear" w:color="auto" w:fill="F4F6F9"/>
          </w:tcPr>
          <w:p>
            <w:pPr>
              <w:spacing w:after="40" w:before="40"/>
              <w:jc w:val="right"/>
            </w:pPr>
            <w:r>
              <w:rPr>
                <w:b/>
                <w:sz w:val="19"/>
              </w:rPr>
              <w:t>30</w:t>
            </w:r>
          </w:p>
        </w:tc>
      </w:tr>
      <w:tr>
        <w:tc>
          <w:tcPr>
            <w:tcW w:type="dxa" w:w="4873"/>
          </w:tcPr>
          <w:p>
            <w:pPr>
              <w:spacing w:after="40" w:before="40"/>
              <w:jc w:val="left"/>
            </w:pPr>
            <w:r>
              <w:rPr>
                <w:sz w:val="19"/>
              </w:rPr>
              <w:t>Closed in the 3-week plan</w:t>
            </w:r>
          </w:p>
        </w:tc>
        <w:tc>
          <w:tcPr>
            <w:tcW w:type="dxa" w:w="4873"/>
          </w:tcPr>
          <w:p>
            <w:pPr>
              <w:spacing w:after="40" w:before="40"/>
              <w:jc w:val="right"/>
            </w:pPr>
            <w:r>
              <w:rPr>
                <w:b/>
                <w:sz w:val="19"/>
              </w:rPr>
              <w:t>13</w:t>
            </w:r>
            <w:r>
              <w:rPr>
                <w:sz w:val="19"/>
              </w:rPr>
              <w:t xml:space="preserve"> (6 of 8 </w:t>
            </w:r>
            <w:r>
              <w:rPr>
                <w:rFonts w:ascii="Consolas" w:hAnsi="Consolas"/>
                <w:color w:val="9C274E"/>
                <w:sz w:val="18"/>
              </w:rPr>
              <w:t>P0</w:t>
            </w:r>
            <w:r>
              <w:rPr>
                <w:sz w:val="19"/>
              </w:rPr>
              <w:t>)</w:t>
            </w:r>
          </w:p>
        </w:tc>
      </w:tr>
      <w:tr>
        <w:tc>
          <w:tcPr>
            <w:tcW w:type="dxa" w:w="4873"/>
            <w:shd w:val="clear" w:color="auto" w:fill="F4F6F9"/>
          </w:tcPr>
          <w:p>
            <w:pPr>
              <w:spacing w:after="40" w:before="40"/>
              <w:jc w:val="left"/>
            </w:pPr>
            <w:r>
              <w:rPr>
                <w:sz w:val="19"/>
              </w:rPr>
              <w:t>Deferred, with reasons</w:t>
            </w:r>
          </w:p>
        </w:tc>
        <w:tc>
          <w:tcPr>
            <w:tcW w:type="dxa" w:w="4873"/>
            <w:shd w:val="clear" w:color="auto" w:fill="F4F6F9"/>
          </w:tcPr>
          <w:p>
            <w:pPr>
              <w:spacing w:after="40" w:before="40"/>
              <w:jc w:val="right"/>
            </w:pPr>
            <w:r>
              <w:rPr>
                <w:b/>
                <w:sz w:val="19"/>
              </w:rPr>
              <w:t>17</w:t>
            </w:r>
          </w:p>
        </w:tc>
      </w:tr>
    </w:tbl>
    <w:p>
      <w:pPr>
        <w:spacing w:after="80"/>
      </w:pPr>
    </w:p>
    <w:p>
      <w:pPr>
        <w:pStyle w:val="Heading3"/>
      </w:pPr>
      <w:r>
        <w:t>Three findings</w:t>
      </w:r>
    </w:p>
    <w:p>
      <w:pPr>
        <w:spacing w:before="160" w:after="200"/>
        <w:ind w:left="227" w:right="113"/>
        <w:pBdr>
          <w:left w:val="single" w:sz="24" w:space="8" w:color="2F5496"/>
        </w:pBdr>
        <w:shd w:val="clear" w:color="auto" w:fill="F7F9FC"/>
      </w:pPr>
      <w:r>
        <w:rPr>
          <w:b/>
          <w:color w:val="2B3340"/>
          <w:sz w:val="20"/>
        </w:rPr>
        <w:t>1. Half the platform is read-only, and it is the half you sell.</w:t>
      </w:r>
      <w:r>
        <w:rPr>
          <w:color w:val="2B3340"/>
          <w:sz w:val="20"/>
        </w:rPr>
        <w:t xml:space="preserve"> 25 of 51 entities expose only </w:t>
      </w:r>
      <w:r>
        <w:rPr>
          <w:rFonts w:ascii="Consolas" w:hAnsi="Consolas"/>
          <w:color w:val="9C274E"/>
          <w:sz w:val="19"/>
        </w:rPr>
        <w:t>list</w:t>
      </w:r>
      <w:r>
        <w:rPr>
          <w:color w:val="2B3340"/>
          <w:sz w:val="20"/>
        </w:rPr>
        <w:t xml:space="preserve"> and </w:t>
      </w:r>
      <w:r>
        <w:rPr>
          <w:rFonts w:ascii="Consolas" w:hAnsi="Consolas"/>
          <w:color w:val="9C274E"/>
          <w:sz w:val="19"/>
        </w:rPr>
        <w:t>get</w:t>
      </w:r>
      <w:r>
        <w:rPr>
          <w:color w:val="2B3340"/>
          <w:sz w:val="20"/>
        </w:rPr>
        <w:t xml:space="preserve">. They cluster in exactly the agent-configuration surfaces a multiagent platform gets bought for — </w:t>
      </w:r>
      <w:r>
        <w:rPr>
          <w:rFonts w:ascii="Consolas" w:hAnsi="Consolas"/>
          <w:color w:val="9C274E"/>
          <w:sz w:val="19"/>
        </w:rPr>
        <w:t>AgentSkill</w:t>
      </w:r>
      <w:r>
        <w:rPr>
          <w:color w:val="2B3340"/>
          <w:sz w:val="20"/>
        </w:rPr>
        <w:t xml:space="preserve">, </w:t>
      </w:r>
      <w:r>
        <w:rPr>
          <w:rFonts w:ascii="Consolas" w:hAnsi="Consolas"/>
          <w:color w:val="9C274E"/>
          <w:sz w:val="19"/>
        </w:rPr>
        <w:t>AgentPersona</w:t>
      </w:r>
      <w:r>
        <w:rPr>
          <w:color w:val="2B3340"/>
          <w:sz w:val="20"/>
        </w:rPr>
        <w:t xml:space="preserve">, </w:t>
      </w:r>
      <w:r>
        <w:rPr>
          <w:rFonts w:ascii="Consolas" w:hAnsi="Consolas"/>
          <w:color w:val="9C274E"/>
          <w:sz w:val="19"/>
        </w:rPr>
        <w:t>AgentRunbook</w:t>
      </w:r>
      <w:r>
        <w:rPr>
          <w:color w:val="2B3340"/>
          <w:sz w:val="20"/>
        </w:rPr>
        <w:t xml:space="preserve">, </w:t>
      </w:r>
      <w:r>
        <w:rPr>
          <w:rFonts w:ascii="Consolas" w:hAnsi="Consolas"/>
          <w:color w:val="9C274E"/>
          <w:sz w:val="19"/>
        </w:rPr>
        <w:t>AgentToolPolicy</w:t>
      </w:r>
      <w:r>
        <w:rPr>
          <w:color w:val="2B3340"/>
          <w:sz w:val="20"/>
        </w:rPr>
        <w:t xml:space="preserve">, </w:t>
      </w:r>
      <w:r>
        <w:rPr>
          <w:rFonts w:ascii="Consolas" w:hAnsi="Consolas"/>
          <w:color w:val="9C274E"/>
          <w:sz w:val="19"/>
        </w:rPr>
        <w:t>AgentProvider</w:t>
      </w:r>
      <w:r>
        <w:rPr>
          <w:color w:val="2B3340"/>
          <w:sz w:val="20"/>
        </w:rPr>
        <w:t xml:space="preserve">, </w:t>
      </w:r>
      <w:r>
        <w:rPr>
          <w:rFonts w:ascii="Consolas" w:hAnsi="Consolas"/>
          <w:color w:val="9C274E"/>
          <w:sz w:val="19"/>
        </w:rPr>
        <w:t>AgentFloorConfig</w:t>
      </w:r>
      <w:r>
        <w:rPr>
          <w:color w:val="2B3340"/>
          <w:sz w:val="20"/>
        </w:rPr>
        <w:t xml:space="preserve">, </w:t>
      </w:r>
      <w:r>
        <w:rPr>
          <w:rFonts w:ascii="Consolas" w:hAnsi="Consolas"/>
          <w:color w:val="9C274E"/>
          <w:sz w:val="19"/>
        </w:rPr>
        <w:t>AgentJob</w:t>
      </w:r>
      <w:r>
        <w:rPr>
          <w:color w:val="2B3340"/>
          <w:sz w:val="20"/>
        </w:rPr>
        <w:t xml:space="preserve">. An agent can be </w:t>
      </w:r>
      <w:r>
        <w:rPr>
          <w:i/>
          <w:color w:val="2B3340"/>
          <w:sz w:val="20"/>
        </w:rPr>
        <w:t>operated</w:t>
      </w:r>
      <w:r>
        <w:rPr>
          <w:color w:val="2B3340"/>
          <w:sz w:val="20"/>
        </w:rPr>
        <w:t xml:space="preserve"> through MCP but not built, versioned, tested or deployed. That is precisely the ground Agentforce Builder and Breeze Studio compete on.</w:t>
      </w:r>
    </w:p>
    <w:p>
      <w:pPr>
        <w:spacing w:before="160" w:after="200"/>
        <w:ind w:left="227" w:right="113"/>
        <w:pBdr>
          <w:left w:val="single" w:sz="24" w:space="8" w:color="2F5496"/>
        </w:pBdr>
        <w:shd w:val="clear" w:color="auto" w:fill="F7F9FC"/>
      </w:pPr>
      <w:r>
        <w:rPr>
          <w:b/>
          <w:color w:val="2B3340"/>
          <w:sz w:val="20"/>
        </w:rPr>
        <w:t>2. No agent can ask an aggregate question.</w:t>
      </w:r>
      <w:r>
        <w:rPr>
          <w:color w:val="2B3340"/>
          <w:sz w:val="20"/>
        </w:rPr>
        <w:t xml:space="preserve"> </w:t>
      </w:r>
      <w:r>
        <w:rPr>
          <w:rFonts w:ascii="Consolas" w:hAnsi="Consolas"/>
          <w:color w:val="9C274E"/>
          <w:sz w:val="19"/>
        </w:rPr>
        <w:t>SalesOrder.list</w:t>
      </w:r>
      <w:r>
        <w:rPr>
          <w:color w:val="2B3340"/>
          <w:sz w:val="20"/>
        </w:rPr>
        <w:t xml:space="preserve"> reports </w:t>
      </w:r>
      <w:r>
        <w:rPr>
          <w:rFonts w:ascii="Consolas" w:hAnsi="Consolas"/>
          <w:color w:val="9C274E"/>
          <w:sz w:val="19"/>
        </w:rPr>
        <w:t>total: 310</w:t>
      </w:r>
      <w:r>
        <w:rPr>
          <w:color w:val="2B3340"/>
          <w:sz w:val="20"/>
        </w:rPr>
        <w:t xml:space="preserve"> at </w:t>
      </w:r>
      <w:r>
        <w:rPr>
          <w:rFonts w:ascii="Consolas" w:hAnsi="Consolas"/>
          <w:color w:val="9C274E"/>
          <w:sz w:val="19"/>
        </w:rPr>
        <w:t>limit: 20</w:t>
      </w:r>
      <w:r>
        <w:rPr>
          <w:color w:val="2B3340"/>
          <w:sz w:val="20"/>
        </w:rPr>
        <w:t xml:space="preserve">. Answering </w:t>
      </w:r>
      <w:r>
        <w:rPr>
          <w:i/>
          <w:color w:val="2B3340"/>
          <w:sz w:val="20"/>
        </w:rPr>
        <w:t>"what did we sell this quarter"</w:t>
      </w:r>
      <w:r>
        <w:rPr>
          <w:color w:val="2B3340"/>
          <w:sz w:val="20"/>
        </w:rPr>
        <w:t xml:space="preserve"> costs sixteen round trips of raw rows that the model must then re-add itself. Every competitor with a reporting engine answers it in one call.</w:t>
      </w:r>
    </w:p>
    <w:p>
      <w:pPr>
        <w:spacing w:before="160" w:after="200"/>
        <w:ind w:left="227" w:right="113"/>
        <w:pBdr>
          <w:left w:val="single" w:sz="24" w:space="8" w:color="2F5496"/>
        </w:pBdr>
        <w:shd w:val="clear" w:color="auto" w:fill="F7F9FC"/>
      </w:pPr>
      <w:r>
        <w:rPr>
          <w:b/>
          <w:color w:val="2B3340"/>
          <w:sz w:val="20"/>
        </w:rPr>
        <w:t>3. Deals are single-threaded by schema — and that is the opening.</w:t>
      </w:r>
      <w:r>
        <w:rPr>
          <w:color w:val="2B3340"/>
          <w:sz w:val="20"/>
        </w:rPr>
        <w:t xml:space="preserve"> </w:t>
      </w:r>
      <w:r>
        <w:rPr>
          <w:rFonts w:ascii="Consolas" w:hAnsi="Consolas"/>
          <w:color w:val="9C274E"/>
          <w:sz w:val="19"/>
        </w:rPr>
        <w:t>Deal.create</w:t>
      </w:r>
      <w:r>
        <w:rPr>
          <w:color w:val="2B3340"/>
          <w:sz w:val="20"/>
        </w:rPr>
        <w:t xml:space="preserve"> accepts </w:t>
      </w:r>
      <w:r>
        <w:rPr>
          <w:rFonts w:ascii="Consolas" w:hAnsi="Consolas"/>
          <w:color w:val="9C274E"/>
          <w:sz w:val="19"/>
        </w:rPr>
        <w:t>products</w:t>
      </w:r>
      <w:r>
        <w:rPr>
          <w:color w:val="2B3340"/>
          <w:sz w:val="20"/>
        </w:rPr>
        <w:t xml:space="preserve"> as an </w:t>
      </w:r>
      <w:r>
        <w:rPr>
          <w:b/>
          <w:color w:val="2B3340"/>
          <w:sz w:val="20"/>
        </w:rPr>
        <w:t>array</w:t>
      </w:r>
      <w:r>
        <w:rPr>
          <w:color w:val="2B3340"/>
          <w:sz w:val="20"/>
        </w:rPr>
        <w:t xml:space="preserve"> but </w:t>
      </w:r>
      <w:r>
        <w:rPr>
          <w:rFonts w:ascii="Consolas" w:hAnsi="Consolas"/>
          <w:color w:val="9C274E"/>
          <w:sz w:val="19"/>
        </w:rPr>
        <w:t>contact_id</w:t>
      </w:r>
      <w:r>
        <w:rPr>
          <w:color w:val="2B3340"/>
          <w:sz w:val="20"/>
        </w:rPr>
        <w:t xml:space="preserve"> as a </w:t>
      </w:r>
      <w:r>
        <w:rPr>
          <w:b/>
          <w:color w:val="2B3340"/>
          <w:sz w:val="20"/>
        </w:rPr>
        <w:t>scalar</w:t>
      </w:r>
      <w:r>
        <w:rPr>
          <w:color w:val="2B3340"/>
          <w:sz w:val="20"/>
        </w:rPr>
        <w:t xml:space="preserve">. The deal knows every line item and exactly one human. Meanwhile </w:t>
      </w:r>
      <w:r>
        <w:rPr>
          <w:rFonts w:ascii="Consolas" w:hAnsi="Consolas"/>
          <w:color w:val="9C274E"/>
          <w:sz w:val="19"/>
        </w:rPr>
        <w:t>PartyRelationship</w:t>
      </w:r>
      <w:r>
        <w:rPr>
          <w:color w:val="2B3340"/>
          <w:sz w:val="20"/>
        </w:rPr>
        <w:t xml:space="preserve"> is a real typed, directed, time-bounded edge table with full create and update that nothing populates and nothing traverses. Closing that loop turns relationship intelligence into a deal-level differentiator on ground no competitor holds. See </w:t>
      </w:r>
      <w:hyperlink r:id="rId13">
        <w:r>
          <w:rPr>
            <w:color w:val="2F5496"/>
            <w:u w:val="single"/>
          </w:rPr>
          <w:t>section 5</w:t>
        </w:r>
      </w:hyperlink>
      <w:r>
        <w:rPr>
          <w:color w:val="2B3340"/>
          <w:sz w:val="20"/>
        </w:rPr>
        <w:t>.</w:t>
      </w:r>
    </w:p>
    <w:p>
      <w:pPr>
        <w:pStyle w:val="Heading3"/>
      </w:pPr>
      <w:r>
        <w:t>Recommendation</w:t>
      </w:r>
    </w:p>
    <w:p>
      <w:r>
        <w:t xml:space="preserve">Findings 1 and 2 are fixable </w:t>
      </w:r>
      <w:r>
        <w:rPr>
          <w:b/>
        </w:rPr>
        <w:t>without touching the data model</w:t>
      </w:r>
      <w:r>
        <w:t xml:space="preserve"> — they are surface-level additions to an otherwise sound catalog, which is what makes a three-week window worth taking seriously at all.</w:t>
      </w:r>
    </w:p>
    <w:p>
      <w:r>
        <w:t xml:space="preserve">The plan in </w:t>
      </w:r>
      <w:hyperlink r:id="rId12">
        <w:r>
          <w:rPr>
            <w:color w:val="2F5496"/>
            <w:u w:val="single"/>
          </w:rPr>
          <w:t>section 7</w:t>
        </w:r>
      </w:hyperlink>
      <w:r>
        <w:t xml:space="preserve"> commits 35 of 45 available engineer-days to </w:t>
      </w:r>
      <w:r>
        <w:rPr>
          <w:b/>
        </w:rPr>
        <w:t>13 of the 30 gaps</w:t>
      </w:r>
      <w:r>
        <w:t xml:space="preserve">, chosen on one principle: </w:t>
      </w:r>
      <w:r>
        <w:rPr>
          <w:i/>
        </w:rPr>
        <w:t>the P0 gaps are horizontal.</w:t>
      </w:r>
      <w:r>
        <w:t xml:space="preserve"> A single generic implementation at the shared CRUD layer lands aggregation, bulk writes, structured errors and progressive tool disclosure across all 51 entities and all 247 tools simultaneously. Five gaps close that way for </w:t>
      </w:r>
      <w:r>
        <w:rPr>
          <w:b/>
        </w:rPr>
        <w:t>12 engineer-days</w:t>
      </w:r>
      <w:r>
        <w:t>, and a sixth (</w:t>
      </w:r>
      <w:r>
        <w:rPr>
          <w:rFonts w:ascii="Consolas" w:hAnsi="Consolas"/>
          <w:color w:val="9C274E"/>
          <w:sz w:val="20"/>
        </w:rPr>
        <w:t>P0-8</w:t>
      </w:r>
      <w:r>
        <w:t>) is a small schema change — six of the eight P0 gaps, for barely a quarter of the sprint. Breadth here is a property of the architecture, not of heroics.</w:t>
      </w:r>
    </w:p>
    <w:p>
      <w:r>
        <w:t xml:space="preserve">The rest of the capacity goes to </w:t>
      </w:r>
      <w:r>
        <w:rPr>
          <w:b/>
        </w:rPr>
        <w:t>relationship intelligence on deals</w:t>
      </w:r>
      <w:r>
        <w:t xml:space="preserve"> (</w:t>
      </w:r>
      <w:hyperlink r:id="rId14">
        <w:r>
          <w:rPr>
            <w:color w:val="2F5496"/>
            <w:u w:val="single"/>
          </w:rPr>
          <w:t>6.2</w:t>
        </w:r>
      </w:hyperlink>
      <w:r>
        <w:t>) rather than to more parity work, deliberately. It is the only item in this report that is both unbuilt and unclaimed by any competitor; its prerequisite (</w:t>
      </w:r>
      <w:r>
        <w:rPr>
          <w:rFonts w:ascii="Consolas" w:hAnsi="Consolas"/>
          <w:color w:val="9C274E"/>
          <w:sz w:val="20"/>
        </w:rPr>
        <w:t>P0-8</w:t>
      </w:r>
      <w:r>
        <w:t xml:space="preserve">) is among the cheapest changes in the register; and a walkable graph is demonstrable inside three weeks where invoicing and agent authoring are not. Separately, the governance and ledger capabilities in </w:t>
      </w:r>
      <w:hyperlink r:id="rId15">
        <w:r>
          <w:rPr>
            <w:color w:val="2F5496"/>
            <w:u w:val="single"/>
          </w:rPr>
          <w:t>6.1</w:t>
        </w:r>
      </w:hyperlink>
      <w:r>
        <w:t xml:space="preserve"> need </w:t>
      </w:r>
      <w:r>
        <w:rPr>
          <w:b/>
        </w:rPr>
        <w:t>no engineering at all</w:t>
      </w:r>
      <w:r>
        <w:t xml:space="preserve"> — they are already shipped and simply not being talked about. That is the cheapest win available and belongs in these same three weeks as a positioning task, not a build task.</w:t>
      </w:r>
    </w:p>
    <w:p>
      <w:r>
        <w:t xml:space="preserve">What three weeks cannot buy is named explicitly in </w:t>
      </w:r>
      <w:hyperlink r:id="rId16">
        <w:r>
          <w:rPr>
            <w:color w:val="2F5496"/>
            <w:u w:val="single"/>
          </w:rPr>
          <w:t>7.4</w:t>
        </w:r>
      </w:hyperlink>
      <w:r>
        <w:t>. The quote-to-cash chain, agent authoring, ticketing and knowledge grounding are quarter-scale surfaces; GST filing, outbound email and OAuth are gated on third parties. Those set the agenda for weeks 4 through 16 and should not be promised inside this one.</w:t>
      </w:r>
    </w:p>
    <w:p>
      <w:pPr>
        <w:spacing w:before="80" w:after="200"/>
        <w:pBdr>
          <w:bottom w:val="single" w:sz="8" w:space="8" w:color="C9D1DC"/>
        </w:pBdr>
      </w:pPr>
      <w:r>
        <w:br w:type="page"/>
      </w:r>
    </w:p>
    <w:p>
      <w:pPr>
        <w:pStyle w:val="Heading2"/>
      </w:pPr>
      <w:r>
        <w:t>2. What the catalog contains</w:t>
      </w:r>
    </w:p>
    <w:p>
      <w:pPr>
        <w:pStyle w:val="Heading3"/>
      </w:pPr>
      <w:r>
        <w:t>2.1 Tool shapes</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3249"/>
        <w:gridCol w:w="3249"/>
        <w:gridCol w:w="3249"/>
      </w:tblGrid>
      <w:tr>
        <w:trPr>
          <w:tblHeader w:val="true"/>
        </w:trPr>
        <w:tc>
          <w:tcPr>
            <w:tcW w:type="dxa" w:w="3249"/>
            <w:shd w:val="clear" w:color="auto" w:fill="1F3864"/>
          </w:tcPr>
          <w:p>
            <w:pPr>
              <w:spacing w:after="40" w:before="40"/>
              <w:jc w:val="left"/>
            </w:pPr>
            <w:r>
              <w:rPr>
                <w:b/>
                <w:color w:val="FFFFFF"/>
                <w:sz w:val="19"/>
              </w:rPr>
              <w:t>Shape</w:t>
            </w:r>
          </w:p>
        </w:tc>
        <w:tc>
          <w:tcPr>
            <w:tcW w:type="dxa" w:w="3249"/>
            <w:shd w:val="clear" w:color="auto" w:fill="1F3864"/>
          </w:tcPr>
          <w:p>
            <w:pPr>
              <w:spacing w:after="40" w:before="40"/>
              <w:jc w:val="right"/>
            </w:pPr>
            <w:r>
              <w:rPr>
                <w:b/>
                <w:color w:val="FFFFFF"/>
                <w:sz w:val="19"/>
              </w:rPr>
              <w:t>Count</w:t>
            </w:r>
          </w:p>
        </w:tc>
        <w:tc>
          <w:tcPr>
            <w:tcW w:type="dxa" w:w="3249"/>
            <w:shd w:val="clear" w:color="auto" w:fill="1F3864"/>
          </w:tcPr>
          <w:p>
            <w:pPr>
              <w:spacing w:after="40" w:before="40"/>
              <w:jc w:val="right"/>
            </w:pPr>
            <w:r>
              <w:rPr>
                <w:b/>
                <w:color w:val="FFFFFF"/>
                <w:sz w:val="19"/>
              </w:rPr>
              <w:t>Share</w:t>
            </w:r>
          </w:p>
        </w:tc>
      </w:tr>
      <w:tr>
        <w:tc>
          <w:tcPr>
            <w:tcW w:type="dxa" w:w="3249"/>
          </w:tcPr>
          <w:p>
            <w:pPr>
              <w:spacing w:after="40" w:before="40"/>
              <w:jc w:val="left"/>
            </w:pPr>
            <w:r>
              <w:rPr>
                <w:sz w:val="19"/>
              </w:rPr>
              <w:t>CRUD tools (</w:t>
            </w:r>
            <w:r>
              <w:rPr>
                <w:rFonts w:ascii="Consolas" w:hAnsi="Consolas"/>
                <w:color w:val="9C274E"/>
                <w:sz w:val="18"/>
              </w:rPr>
              <w:t>list</w:t>
            </w:r>
            <w:r>
              <w:rPr>
                <w:sz w:val="19"/>
              </w:rPr>
              <w:t xml:space="preserve"> / </w:t>
            </w:r>
            <w:r>
              <w:rPr>
                <w:rFonts w:ascii="Consolas" w:hAnsi="Consolas"/>
                <w:color w:val="9C274E"/>
                <w:sz w:val="18"/>
              </w:rPr>
              <w:t>get</w:t>
            </w:r>
            <w:r>
              <w:rPr>
                <w:sz w:val="19"/>
              </w:rPr>
              <w:t xml:space="preserve"> / </w:t>
            </w:r>
            <w:r>
              <w:rPr>
                <w:rFonts w:ascii="Consolas" w:hAnsi="Consolas"/>
                <w:color w:val="9C274E"/>
                <w:sz w:val="18"/>
              </w:rPr>
              <w:t>create</w:t>
            </w:r>
            <w:r>
              <w:rPr>
                <w:sz w:val="19"/>
              </w:rPr>
              <w:t xml:space="preserve"> / </w:t>
            </w:r>
            <w:r>
              <w:rPr>
                <w:rFonts w:ascii="Consolas" w:hAnsi="Consolas"/>
                <w:color w:val="9C274E"/>
                <w:sz w:val="18"/>
              </w:rPr>
              <w:t>update</w:t>
            </w:r>
            <w:r>
              <w:rPr>
                <w:sz w:val="19"/>
              </w:rPr>
              <w:t xml:space="preserve"> / </w:t>
            </w:r>
            <w:r>
              <w:rPr>
                <w:rFonts w:ascii="Consolas" w:hAnsi="Consolas"/>
                <w:color w:val="9C274E"/>
                <w:sz w:val="18"/>
              </w:rPr>
              <w:t>delete</w:t>
            </w:r>
            <w:r>
              <w:rPr>
                <w:sz w:val="19"/>
              </w:rPr>
              <w:t>)</w:t>
            </w:r>
          </w:p>
        </w:tc>
        <w:tc>
          <w:tcPr>
            <w:tcW w:type="dxa" w:w="3249"/>
          </w:tcPr>
          <w:p>
            <w:pPr>
              <w:spacing w:after="40" w:before="40"/>
              <w:jc w:val="right"/>
            </w:pPr>
            <w:r>
              <w:rPr>
                <w:sz w:val="19"/>
              </w:rPr>
              <w:t>159</w:t>
            </w:r>
          </w:p>
        </w:tc>
        <w:tc>
          <w:tcPr>
            <w:tcW w:type="dxa" w:w="3249"/>
          </w:tcPr>
          <w:p>
            <w:pPr>
              <w:spacing w:after="40" w:before="40"/>
              <w:jc w:val="right"/>
            </w:pPr>
            <w:r>
              <w:rPr>
                <w:sz w:val="19"/>
              </w:rPr>
              <w:t>64%</w:t>
            </w:r>
          </w:p>
        </w:tc>
      </w:tr>
      <w:tr>
        <w:tc>
          <w:tcPr>
            <w:tcW w:type="dxa" w:w="3249"/>
            <w:shd w:val="clear" w:color="auto" w:fill="F4F6F9"/>
          </w:tcPr>
          <w:p>
            <w:pPr>
              <w:spacing w:after="40" w:before="40"/>
              <w:jc w:val="left"/>
            </w:pPr>
            <w:r>
              <w:rPr>
                <w:sz w:val="19"/>
              </w:rPr>
              <w:t>REST passthroughs (</w:t>
            </w:r>
            <w:r>
              <w:rPr>
                <w:rFonts w:ascii="Consolas" w:hAnsi="Consolas"/>
                <w:color w:val="9C274E"/>
                <w:sz w:val="18"/>
              </w:rPr>
              <w:t>endpoint.*</w:t>
            </w:r>
            <w:r>
              <w:rPr>
                <w:sz w:val="19"/>
              </w:rPr>
              <w:t>)</w:t>
            </w:r>
          </w:p>
        </w:tc>
        <w:tc>
          <w:tcPr>
            <w:tcW w:type="dxa" w:w="3249"/>
            <w:shd w:val="clear" w:color="auto" w:fill="F4F6F9"/>
          </w:tcPr>
          <w:p>
            <w:pPr>
              <w:spacing w:after="40" w:before="40"/>
              <w:jc w:val="right"/>
            </w:pPr>
            <w:r>
              <w:rPr>
                <w:sz w:val="19"/>
              </w:rPr>
              <w:t>44</w:t>
            </w:r>
          </w:p>
        </w:tc>
        <w:tc>
          <w:tcPr>
            <w:tcW w:type="dxa" w:w="3249"/>
            <w:shd w:val="clear" w:color="auto" w:fill="F4F6F9"/>
          </w:tcPr>
          <w:p>
            <w:pPr>
              <w:spacing w:after="40" w:before="40"/>
              <w:jc w:val="right"/>
            </w:pPr>
            <w:r>
              <w:rPr>
                <w:sz w:val="19"/>
              </w:rPr>
              <w:t>18%</w:t>
            </w:r>
          </w:p>
        </w:tc>
      </w:tr>
      <w:tr>
        <w:tc>
          <w:tcPr>
            <w:tcW w:type="dxa" w:w="3249"/>
          </w:tcPr>
          <w:p>
            <w:pPr>
              <w:spacing w:after="40" w:before="40"/>
              <w:jc w:val="left"/>
            </w:pPr>
            <w:r>
              <w:rPr>
                <w:sz w:val="19"/>
              </w:rPr>
              <w:t>State transitions (</w:t>
            </w:r>
            <w:r>
              <w:rPr>
                <w:rFonts w:ascii="Consolas" w:hAnsi="Consolas"/>
                <w:color w:val="9C274E"/>
                <w:sz w:val="18"/>
              </w:rPr>
              <w:t>permission: submit</w:t>
            </w:r>
            <w:r>
              <w:rPr>
                <w:sz w:val="19"/>
              </w:rPr>
              <w:t>)</w:t>
            </w:r>
          </w:p>
        </w:tc>
        <w:tc>
          <w:tcPr>
            <w:tcW w:type="dxa" w:w="3249"/>
          </w:tcPr>
          <w:p>
            <w:pPr>
              <w:spacing w:after="40" w:before="40"/>
              <w:jc w:val="right"/>
            </w:pPr>
            <w:r>
              <w:rPr>
                <w:sz w:val="19"/>
              </w:rPr>
              <w:t>37</w:t>
            </w:r>
          </w:p>
        </w:tc>
        <w:tc>
          <w:tcPr>
            <w:tcW w:type="dxa" w:w="3249"/>
          </w:tcPr>
          <w:p>
            <w:pPr>
              <w:spacing w:after="40" w:before="40"/>
              <w:jc w:val="right"/>
            </w:pPr>
            <w:r>
              <w:rPr>
                <w:sz w:val="19"/>
              </w:rPr>
              <w:t>15%</w:t>
            </w:r>
          </w:p>
        </w:tc>
      </w:tr>
      <w:tr>
        <w:tc>
          <w:tcPr>
            <w:tcW w:type="dxa" w:w="3249"/>
            <w:shd w:val="clear" w:color="auto" w:fill="F4F6F9"/>
          </w:tcPr>
          <w:p>
            <w:pPr>
              <w:spacing w:after="40" w:before="40"/>
              <w:jc w:val="left"/>
            </w:pPr>
            <w:r>
              <w:rPr>
                <w:sz w:val="19"/>
              </w:rPr>
              <w:t>Composite and document-chain tools</w:t>
            </w:r>
          </w:p>
        </w:tc>
        <w:tc>
          <w:tcPr>
            <w:tcW w:type="dxa" w:w="3249"/>
            <w:shd w:val="clear" w:color="auto" w:fill="F4F6F9"/>
          </w:tcPr>
          <w:p>
            <w:pPr>
              <w:spacing w:after="40" w:before="40"/>
              <w:jc w:val="right"/>
            </w:pPr>
            <w:r>
              <w:rPr>
                <w:sz w:val="19"/>
              </w:rPr>
              <w:t>7</w:t>
            </w:r>
          </w:p>
        </w:tc>
        <w:tc>
          <w:tcPr>
            <w:tcW w:type="dxa" w:w="3249"/>
            <w:shd w:val="clear" w:color="auto" w:fill="F4F6F9"/>
          </w:tcPr>
          <w:p>
            <w:pPr>
              <w:spacing w:after="40" w:before="40"/>
              <w:jc w:val="right"/>
            </w:pPr>
            <w:r>
              <w:rPr>
                <w:sz w:val="19"/>
              </w:rPr>
              <w:t>3%</w:t>
            </w:r>
          </w:p>
        </w:tc>
      </w:tr>
      <w:tr>
        <w:tc>
          <w:tcPr>
            <w:tcW w:type="dxa" w:w="3249"/>
          </w:tcPr>
          <w:p>
            <w:pPr>
              <w:spacing w:after="40" w:before="40"/>
              <w:jc w:val="left"/>
            </w:pPr>
            <w:r>
              <w:rPr>
                <w:b/>
                <w:sz w:val="19"/>
              </w:rPr>
              <w:t>Total</w:t>
            </w:r>
          </w:p>
        </w:tc>
        <w:tc>
          <w:tcPr>
            <w:tcW w:type="dxa" w:w="3249"/>
          </w:tcPr>
          <w:p>
            <w:pPr>
              <w:spacing w:after="40" w:before="40"/>
              <w:jc w:val="right"/>
            </w:pPr>
            <w:r>
              <w:rPr>
                <w:b/>
                <w:sz w:val="19"/>
              </w:rPr>
              <w:t>247</w:t>
            </w:r>
          </w:p>
        </w:tc>
        <w:tc>
          <w:tcPr>
            <w:tcW w:type="dxa" w:w="3249"/>
          </w:tcPr>
          <w:p>
            <w:pPr>
              <w:spacing w:after="40" w:before="40"/>
              <w:jc w:val="right"/>
            </w:pPr>
          </w:p>
        </w:tc>
      </w:tr>
    </w:tbl>
    <w:p>
      <w:pPr>
        <w:spacing w:after="80"/>
      </w:pPr>
    </w:p>
    <w:p>
      <w:r>
        <w:t>Across the 51 entities:</w:t>
      </w:r>
    </w:p>
    <w:p>
      <w:pPr>
        <w:pStyle w:val="ListBullet"/>
        <w:spacing w:after="60"/>
      </w:pPr>
      <w:r>
        <w:rPr>
          <w:b/>
        </w:rPr>
        <w:t>26</w:t>
      </w:r>
      <w:r>
        <w:t xml:space="preserve"> accept </w:t>
      </w:r>
      <w:r>
        <w:rPr>
          <w:rFonts w:ascii="Consolas" w:hAnsi="Consolas"/>
          <w:color w:val="9C274E"/>
          <w:sz w:val="20"/>
        </w:rPr>
        <w:t>create</w:t>
      </w:r>
      <w:r>
        <w:t xml:space="preserve">; </w:t>
      </w:r>
      <w:r>
        <w:rPr>
          <w:b/>
        </w:rPr>
        <w:t>25</w:t>
      </w:r>
      <w:r>
        <w:t xml:space="preserve"> are read-only.</w:t>
      </w:r>
    </w:p>
    <w:p>
      <w:pPr>
        <w:pStyle w:val="ListBullet"/>
        <w:spacing w:after="60"/>
      </w:pPr>
      <w:r>
        <w:t xml:space="preserve">Only </w:t>
      </w:r>
      <w:r>
        <w:rPr>
          <w:b/>
        </w:rPr>
        <w:t>6</w:t>
      </w:r>
      <w:r>
        <w:t xml:space="preserve"> expose </w:t>
      </w:r>
      <w:r>
        <w:rPr>
          <w:rFonts w:ascii="Consolas" w:hAnsi="Consolas"/>
          <w:color w:val="9C274E"/>
          <w:sz w:val="20"/>
        </w:rPr>
        <w:t>delete</w:t>
      </w:r>
      <w:r>
        <w:t xml:space="preserve">: </w:t>
      </w:r>
      <w:r>
        <w:rPr>
          <w:rFonts w:ascii="Consolas" w:hAnsi="Consolas"/>
          <w:color w:val="9C274E"/>
          <w:sz w:val="20"/>
        </w:rPr>
        <w:t>AddressBook</w:t>
      </w:r>
      <w:r>
        <w:t xml:space="preserve">, </w:t>
      </w:r>
      <w:r>
        <w:rPr>
          <w:rFonts w:ascii="Consolas" w:hAnsi="Consolas"/>
          <w:color w:val="9C274E"/>
          <w:sz w:val="20"/>
        </w:rPr>
        <w:t>AddressBookEntry</w:t>
      </w:r>
      <w:r>
        <w:t xml:space="preserve">, </w:t>
      </w:r>
      <w:r>
        <w:rPr>
          <w:rFonts w:ascii="Consolas" w:hAnsi="Consolas"/>
          <w:color w:val="9C274E"/>
          <w:sz w:val="20"/>
        </w:rPr>
        <w:t>ContactGroup</w:t>
      </w:r>
      <w:r>
        <w:t xml:space="preserve">, </w:t>
      </w:r>
      <w:r>
        <w:rPr>
          <w:rFonts w:ascii="Consolas" w:hAnsi="Consolas"/>
          <w:color w:val="9C274E"/>
          <w:sz w:val="20"/>
        </w:rPr>
        <w:t>ContactGroupMember</w:t>
      </w:r>
      <w:r>
        <w:t xml:space="preserve">, </w:t>
      </w:r>
      <w:r>
        <w:rPr>
          <w:rFonts w:ascii="Consolas" w:hAnsi="Consolas"/>
          <w:color w:val="9C274E"/>
          <w:sz w:val="20"/>
        </w:rPr>
        <w:t>TrustedSender</w:t>
      </w:r>
      <w:r>
        <w:t xml:space="preserve">, </w:t>
      </w:r>
      <w:r>
        <w:rPr>
          <w:rFonts w:ascii="Consolas" w:hAnsi="Consolas"/>
          <w:color w:val="9C274E"/>
          <w:sz w:val="20"/>
        </w:rPr>
        <w:t>UserPreference</w:t>
      </w:r>
      <w:r>
        <w:t>.</w:t>
      </w:r>
    </w:p>
    <w:p>
      <w:pPr>
        <w:pStyle w:val="ListBullet"/>
        <w:spacing w:after="60"/>
      </w:pPr>
      <w:r>
        <w:t xml:space="preserve">Transitions cluster on the sales funnel — </w:t>
      </w:r>
      <w:r>
        <w:rPr>
          <w:rFonts w:ascii="Consolas" w:hAnsi="Consolas"/>
          <w:color w:val="9C274E"/>
          <w:sz w:val="20"/>
        </w:rPr>
        <w:t>Deal</w:t>
      </w:r>
      <w:r>
        <w:t xml:space="preserve"> 11, </w:t>
      </w:r>
      <w:r>
        <w:rPr>
          <w:rFonts w:ascii="Consolas" w:hAnsi="Consolas"/>
          <w:color w:val="9C274E"/>
          <w:sz w:val="20"/>
        </w:rPr>
        <w:t>Lead</w:t>
      </w:r>
      <w:r>
        <w:t xml:space="preserve"> 9, </w:t>
      </w:r>
      <w:r>
        <w:rPr>
          <w:rFonts w:ascii="Consolas" w:hAnsi="Consolas"/>
          <w:color w:val="9C274E"/>
          <w:sz w:val="20"/>
        </w:rPr>
        <w:t>Quotation</w:t>
      </w:r>
      <w:r>
        <w:t xml:space="preserve"> 8, </w:t>
      </w:r>
      <w:r>
        <w:rPr>
          <w:rFonts w:ascii="Consolas" w:hAnsi="Consolas"/>
          <w:color w:val="9C274E"/>
          <w:sz w:val="20"/>
        </w:rPr>
        <w:t>AgentSession</w:t>
      </w:r>
      <w:r>
        <w:t xml:space="preserve"> 4, </w:t>
      </w:r>
      <w:r>
        <w:rPr>
          <w:rFonts w:ascii="Consolas" w:hAnsi="Consolas"/>
          <w:color w:val="9C274E"/>
          <w:sz w:val="20"/>
        </w:rPr>
        <w:t>AgentTask</w:t>
      </w:r>
      <w:r>
        <w:t xml:space="preserve"> 4, </w:t>
      </w:r>
      <w:r>
        <w:rPr>
          <w:rFonts w:ascii="Consolas" w:hAnsi="Consolas"/>
          <w:color w:val="9C274E"/>
          <w:sz w:val="20"/>
        </w:rPr>
        <w:t>SalesOrder</w:t>
      </w:r>
      <w:r>
        <w:t xml:space="preserve"> 1.</w:t>
      </w:r>
    </w:p>
    <w:p>
      <w:pPr>
        <w:pStyle w:val="ListBullet"/>
        <w:spacing w:after="60"/>
      </w:pPr>
      <w:r>
        <w:rPr>
          <w:rFonts w:ascii="Consolas" w:hAnsi="Consolas"/>
          <w:color w:val="9C274E"/>
          <w:sz w:val="20"/>
        </w:rPr>
        <w:t>BugReport</w:t>
      </w:r>
      <w:r>
        <w:t xml:space="preserve"> is the anomaly: </w:t>
      </w:r>
      <w:r>
        <w:rPr>
          <w:rFonts w:ascii="Consolas" w:hAnsi="Consolas"/>
          <w:color w:val="9C274E"/>
          <w:sz w:val="20"/>
        </w:rPr>
        <w:t>create</w:t>
      </w:r>
      <w:r>
        <w:t xml:space="preserve"> with no </w:t>
      </w:r>
      <w:r>
        <w:rPr>
          <w:rFonts w:ascii="Consolas" w:hAnsi="Consolas"/>
          <w:color w:val="9C274E"/>
          <w:sz w:val="20"/>
        </w:rPr>
        <w:t>update</w:t>
      </w:r>
      <w:r>
        <w:t>.</w:t>
      </w:r>
    </w:p>
    <w:p>
      <w:pPr>
        <w:pStyle w:val="Heading3"/>
      </w:pPr>
      <w:r>
        <w:t>2.2 Write coverage by domain</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2436"/>
        <w:gridCol w:w="2436"/>
        <w:gridCol w:w="2436"/>
        <w:gridCol w:w="2436"/>
      </w:tblGrid>
      <w:tr>
        <w:trPr>
          <w:tblHeader w:val="true"/>
        </w:trPr>
        <w:tc>
          <w:tcPr>
            <w:tcW w:type="dxa" w:w="2436"/>
            <w:shd w:val="clear" w:color="auto" w:fill="1F3864"/>
          </w:tcPr>
          <w:p>
            <w:pPr>
              <w:spacing w:after="40" w:before="40"/>
              <w:jc w:val="left"/>
            </w:pPr>
            <w:r>
              <w:rPr>
                <w:b/>
                <w:color w:val="FFFFFF"/>
                <w:sz w:val="19"/>
              </w:rPr>
              <w:t>Domain</w:t>
            </w:r>
          </w:p>
        </w:tc>
        <w:tc>
          <w:tcPr>
            <w:tcW w:type="dxa" w:w="2436"/>
            <w:shd w:val="clear" w:color="auto" w:fill="1F3864"/>
          </w:tcPr>
          <w:p>
            <w:pPr>
              <w:spacing w:after="40" w:before="40"/>
              <w:jc w:val="right"/>
            </w:pPr>
            <w:r>
              <w:rPr>
                <w:b/>
                <w:color w:val="FFFFFF"/>
                <w:sz w:val="19"/>
              </w:rPr>
              <w:t>Read + write</w:t>
            </w:r>
          </w:p>
        </w:tc>
        <w:tc>
          <w:tcPr>
            <w:tcW w:type="dxa" w:w="2436"/>
            <w:shd w:val="clear" w:color="auto" w:fill="1F3864"/>
          </w:tcPr>
          <w:p>
            <w:pPr>
              <w:spacing w:after="40" w:before="40"/>
              <w:jc w:val="right"/>
            </w:pPr>
            <w:r>
              <w:rPr>
                <w:b/>
                <w:color w:val="FFFFFF"/>
                <w:sz w:val="19"/>
              </w:rPr>
              <w:t>Read-only</w:t>
            </w:r>
          </w:p>
        </w:tc>
        <w:tc>
          <w:tcPr>
            <w:tcW w:type="dxa" w:w="2436"/>
            <w:shd w:val="clear" w:color="auto" w:fill="1F3864"/>
          </w:tcPr>
          <w:p>
            <w:pPr>
              <w:spacing w:after="40" w:before="40"/>
              <w:jc w:val="right"/>
            </w:pPr>
            <w:r>
              <w:rPr>
                <w:b/>
                <w:color w:val="FFFFFF"/>
                <w:sz w:val="19"/>
              </w:rPr>
              <w:t>Writable</w:t>
            </w:r>
          </w:p>
        </w:tc>
      </w:tr>
      <w:tr>
        <w:tc>
          <w:tcPr>
            <w:tcW w:type="dxa" w:w="2436"/>
          </w:tcPr>
          <w:p>
            <w:pPr>
              <w:spacing w:after="40" w:before="40"/>
              <w:jc w:val="left"/>
            </w:pPr>
            <w:r>
              <w:rPr>
                <w:sz w:val="19"/>
              </w:rPr>
              <w:t>CRM core</w:t>
            </w:r>
          </w:p>
        </w:tc>
        <w:tc>
          <w:tcPr>
            <w:tcW w:type="dxa" w:w="2436"/>
          </w:tcPr>
          <w:p>
            <w:pPr>
              <w:spacing w:after="40" w:before="40"/>
              <w:jc w:val="right"/>
            </w:pPr>
            <w:r>
              <w:rPr>
                <w:sz w:val="19"/>
              </w:rPr>
              <w:t>11</w:t>
            </w:r>
          </w:p>
        </w:tc>
        <w:tc>
          <w:tcPr>
            <w:tcW w:type="dxa" w:w="2436"/>
          </w:tcPr>
          <w:p>
            <w:pPr>
              <w:spacing w:after="40" w:before="40"/>
              <w:jc w:val="right"/>
            </w:pPr>
            <w:r>
              <w:rPr>
                <w:sz w:val="19"/>
              </w:rPr>
              <w:t>4</w:t>
            </w:r>
          </w:p>
        </w:tc>
        <w:tc>
          <w:tcPr>
            <w:tcW w:type="dxa" w:w="2436"/>
          </w:tcPr>
          <w:p>
            <w:pPr>
              <w:spacing w:after="40" w:before="40"/>
              <w:jc w:val="right"/>
            </w:pPr>
            <w:r>
              <w:rPr>
                <w:sz w:val="19"/>
              </w:rPr>
              <w:t>73%</w:t>
            </w:r>
          </w:p>
        </w:tc>
      </w:tr>
      <w:tr>
        <w:tc>
          <w:tcPr>
            <w:tcW w:type="dxa" w:w="2436"/>
            <w:shd w:val="clear" w:color="auto" w:fill="F4F6F9"/>
          </w:tcPr>
          <w:p>
            <w:pPr>
              <w:spacing w:after="40" w:before="40"/>
              <w:jc w:val="left"/>
            </w:pPr>
            <w:r>
              <w:rPr>
                <w:sz w:val="19"/>
              </w:rPr>
              <w:t>Contacts and platform</w:t>
            </w:r>
          </w:p>
        </w:tc>
        <w:tc>
          <w:tcPr>
            <w:tcW w:type="dxa" w:w="2436"/>
            <w:shd w:val="clear" w:color="auto" w:fill="F4F6F9"/>
          </w:tcPr>
          <w:p>
            <w:pPr>
              <w:spacing w:after="40" w:before="40"/>
              <w:jc w:val="right"/>
            </w:pPr>
            <w:r>
              <w:rPr>
                <w:sz w:val="19"/>
              </w:rPr>
              <w:t>9</w:t>
            </w:r>
          </w:p>
        </w:tc>
        <w:tc>
          <w:tcPr>
            <w:tcW w:type="dxa" w:w="2436"/>
            <w:shd w:val="clear" w:color="auto" w:fill="F4F6F9"/>
          </w:tcPr>
          <w:p>
            <w:pPr>
              <w:spacing w:after="40" w:before="40"/>
              <w:jc w:val="right"/>
            </w:pPr>
            <w:r>
              <w:rPr>
                <w:sz w:val="19"/>
              </w:rPr>
              <w:t>4</w:t>
            </w:r>
          </w:p>
        </w:tc>
        <w:tc>
          <w:tcPr>
            <w:tcW w:type="dxa" w:w="2436"/>
            <w:shd w:val="clear" w:color="auto" w:fill="F4F6F9"/>
          </w:tcPr>
          <w:p>
            <w:pPr>
              <w:spacing w:after="40" w:before="40"/>
              <w:jc w:val="right"/>
            </w:pPr>
            <w:r>
              <w:rPr>
                <w:sz w:val="19"/>
              </w:rPr>
              <w:t>69%</w:t>
            </w:r>
          </w:p>
        </w:tc>
      </w:tr>
      <w:tr>
        <w:tc>
          <w:tcPr>
            <w:tcW w:type="dxa" w:w="2436"/>
          </w:tcPr>
          <w:p>
            <w:pPr>
              <w:spacing w:after="40" w:before="40"/>
              <w:jc w:val="left"/>
            </w:pPr>
            <w:r>
              <w:rPr>
                <w:sz w:val="19"/>
              </w:rPr>
              <w:t>Agent runtime</w:t>
            </w:r>
          </w:p>
        </w:tc>
        <w:tc>
          <w:tcPr>
            <w:tcW w:type="dxa" w:w="2436"/>
          </w:tcPr>
          <w:p>
            <w:pPr>
              <w:spacing w:after="40" w:before="40"/>
              <w:jc w:val="right"/>
            </w:pPr>
            <w:r>
              <w:rPr>
                <w:sz w:val="19"/>
              </w:rPr>
              <w:t>4</w:t>
            </w:r>
          </w:p>
        </w:tc>
        <w:tc>
          <w:tcPr>
            <w:tcW w:type="dxa" w:w="2436"/>
          </w:tcPr>
          <w:p>
            <w:pPr>
              <w:spacing w:after="40" w:before="40"/>
              <w:jc w:val="right"/>
            </w:pPr>
            <w:r>
              <w:rPr>
                <w:sz w:val="19"/>
              </w:rPr>
              <w:t>4</w:t>
            </w:r>
          </w:p>
        </w:tc>
        <w:tc>
          <w:tcPr>
            <w:tcW w:type="dxa" w:w="2436"/>
          </w:tcPr>
          <w:p>
            <w:pPr>
              <w:spacing w:after="40" w:before="40"/>
              <w:jc w:val="right"/>
            </w:pPr>
            <w:r>
              <w:rPr>
                <w:sz w:val="19"/>
              </w:rPr>
              <w:t>50%</w:t>
            </w:r>
          </w:p>
        </w:tc>
      </w:tr>
      <w:tr>
        <w:tc>
          <w:tcPr>
            <w:tcW w:type="dxa" w:w="2436"/>
            <w:shd w:val="clear" w:color="auto" w:fill="F4F6F9"/>
          </w:tcPr>
          <w:p>
            <w:pPr>
              <w:spacing w:after="40" w:before="40"/>
              <w:jc w:val="left"/>
            </w:pPr>
            <w:r>
              <w:rPr>
                <w:sz w:val="19"/>
              </w:rPr>
              <w:t>Agent governance</w:t>
            </w:r>
          </w:p>
        </w:tc>
        <w:tc>
          <w:tcPr>
            <w:tcW w:type="dxa" w:w="2436"/>
            <w:shd w:val="clear" w:color="auto" w:fill="F4F6F9"/>
          </w:tcPr>
          <w:p>
            <w:pPr>
              <w:spacing w:after="40" w:before="40"/>
              <w:jc w:val="right"/>
            </w:pPr>
            <w:r>
              <w:rPr>
                <w:sz w:val="19"/>
              </w:rPr>
              <w:t>1</w:t>
            </w:r>
          </w:p>
        </w:tc>
        <w:tc>
          <w:tcPr>
            <w:tcW w:type="dxa" w:w="2436"/>
            <w:shd w:val="clear" w:color="auto" w:fill="F4F6F9"/>
          </w:tcPr>
          <w:p>
            <w:pPr>
              <w:spacing w:after="40" w:before="40"/>
              <w:jc w:val="right"/>
            </w:pPr>
            <w:r>
              <w:rPr>
                <w:sz w:val="19"/>
              </w:rPr>
              <w:t>7</w:t>
            </w:r>
          </w:p>
        </w:tc>
        <w:tc>
          <w:tcPr>
            <w:tcW w:type="dxa" w:w="2436"/>
            <w:shd w:val="clear" w:color="auto" w:fill="F4F6F9"/>
          </w:tcPr>
          <w:p>
            <w:pPr>
              <w:spacing w:after="40" w:before="40"/>
              <w:jc w:val="right"/>
            </w:pPr>
            <w:r>
              <w:rPr>
                <w:b/>
                <w:sz w:val="19"/>
              </w:rPr>
              <w:t>13%</w:t>
            </w:r>
          </w:p>
        </w:tc>
      </w:tr>
      <w:tr>
        <w:tc>
          <w:tcPr>
            <w:tcW w:type="dxa" w:w="2436"/>
          </w:tcPr>
          <w:p>
            <w:pPr>
              <w:spacing w:after="40" w:before="40"/>
              <w:jc w:val="left"/>
            </w:pPr>
            <w:r>
              <w:rPr>
                <w:sz w:val="19"/>
              </w:rPr>
              <w:t>Compliance and ledger</w:t>
            </w:r>
          </w:p>
        </w:tc>
        <w:tc>
          <w:tcPr>
            <w:tcW w:type="dxa" w:w="2436"/>
          </w:tcPr>
          <w:p>
            <w:pPr>
              <w:spacing w:after="40" w:before="40"/>
              <w:jc w:val="right"/>
            </w:pPr>
            <w:r>
              <w:rPr>
                <w:sz w:val="19"/>
              </w:rPr>
              <w:t>1</w:t>
            </w:r>
          </w:p>
        </w:tc>
        <w:tc>
          <w:tcPr>
            <w:tcW w:type="dxa" w:w="2436"/>
          </w:tcPr>
          <w:p>
            <w:pPr>
              <w:spacing w:after="40" w:before="40"/>
              <w:jc w:val="right"/>
            </w:pPr>
            <w:r>
              <w:rPr>
                <w:sz w:val="19"/>
              </w:rPr>
              <w:t>6</w:t>
            </w:r>
          </w:p>
        </w:tc>
        <w:tc>
          <w:tcPr>
            <w:tcW w:type="dxa" w:w="2436"/>
          </w:tcPr>
          <w:p>
            <w:pPr>
              <w:spacing w:after="40" w:before="40"/>
              <w:jc w:val="right"/>
            </w:pPr>
            <w:r>
              <w:rPr>
                <w:b/>
                <w:sz w:val="19"/>
              </w:rPr>
              <w:t>14%</w:t>
            </w:r>
          </w:p>
        </w:tc>
      </w:tr>
    </w:tbl>
    <w:p>
      <w:pPr>
        <w:spacing w:after="80"/>
      </w:pPr>
    </w:p>
    <w:p>
      <w:r>
        <w:t>The two lowest rows are the finding. Governance and compliance are almost entirely observable and almost entirely unconfigurable through MCP.</w:t>
      </w:r>
    </w:p>
    <w:p>
      <w:pPr>
        <w:pStyle w:val="Heading3"/>
      </w:pPr>
      <w:r>
        <w:t>2.3 Domains with no entity at all</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rPr>
          <w:tblHeader w:val="true"/>
        </w:trPr>
        <w:tc>
          <w:tcPr>
            <w:tcW w:type="dxa" w:w="4873"/>
            <w:shd w:val="clear" w:color="auto" w:fill="1F3864"/>
          </w:tcPr>
          <w:p>
            <w:pPr>
              <w:spacing w:after="40" w:before="40"/>
              <w:jc w:val="left"/>
            </w:pPr>
            <w:r>
              <w:rPr>
                <w:b/>
                <w:color w:val="FFFFFF"/>
                <w:sz w:val="19"/>
              </w:rPr>
              <w:t>Missing domain</w:t>
            </w:r>
          </w:p>
        </w:tc>
        <w:tc>
          <w:tcPr>
            <w:tcW w:type="dxa" w:w="4873"/>
            <w:shd w:val="clear" w:color="auto" w:fill="1F3864"/>
          </w:tcPr>
          <w:p>
            <w:pPr>
              <w:spacing w:after="40" w:before="40"/>
              <w:jc w:val="left"/>
            </w:pPr>
            <w:r>
              <w:rPr>
                <w:b/>
                <w:color w:val="FFFFFF"/>
                <w:sz w:val="19"/>
              </w:rPr>
              <w:t>Nearest thing we have</w:t>
            </w:r>
          </w:p>
        </w:tc>
      </w:tr>
      <w:tr>
        <w:tc>
          <w:tcPr>
            <w:tcW w:type="dxa" w:w="4873"/>
          </w:tcPr>
          <w:p>
            <w:pPr>
              <w:spacing w:after="40" w:before="40"/>
              <w:jc w:val="left"/>
            </w:pPr>
            <w:r>
              <w:rPr>
                <w:sz w:val="19"/>
              </w:rPr>
              <w:t>Invoicing and payments</w:t>
            </w:r>
          </w:p>
        </w:tc>
        <w:tc>
          <w:tcPr>
            <w:tcW w:type="dxa" w:w="4873"/>
          </w:tcPr>
          <w:p>
            <w:pPr>
              <w:spacing w:after="40" w:before="40"/>
              <w:jc w:val="left"/>
            </w:pPr>
            <w:r>
              <w:rPr>
                <w:rFonts w:ascii="Consolas" w:hAnsi="Consolas"/>
                <w:color w:val="9C274E"/>
                <w:sz w:val="18"/>
              </w:rPr>
              <w:t>SalesOrder.invoiced_status</w:t>
            </w:r>
            <w:r>
              <w:rPr>
                <w:sz w:val="19"/>
              </w:rPr>
              <w:t xml:space="preserve"> — never written</w:t>
            </w:r>
          </w:p>
        </w:tc>
      </w:tr>
      <w:tr>
        <w:tc>
          <w:tcPr>
            <w:tcW w:type="dxa" w:w="4873"/>
            <w:shd w:val="clear" w:color="auto" w:fill="F4F6F9"/>
          </w:tcPr>
          <w:p>
            <w:pPr>
              <w:spacing w:after="40" w:before="40"/>
              <w:jc w:val="left"/>
            </w:pPr>
            <w:r>
              <w:rPr>
                <w:sz w:val="19"/>
              </w:rPr>
              <w:t>Service desk and SLA</w:t>
            </w:r>
          </w:p>
        </w:tc>
        <w:tc>
          <w:tcPr>
            <w:tcW w:type="dxa" w:w="4873"/>
            <w:shd w:val="clear" w:color="auto" w:fill="F4F6F9"/>
          </w:tcPr>
          <w:p>
            <w:pPr>
              <w:spacing w:after="40" w:before="40"/>
              <w:jc w:val="left"/>
            </w:pPr>
            <w:r>
              <w:rPr>
                <w:rFonts w:ascii="Consolas" w:hAnsi="Consolas"/>
                <w:color w:val="9C274E"/>
                <w:sz w:val="18"/>
              </w:rPr>
              <w:t>BugReport</w:t>
            </w:r>
            <w:r>
              <w:rPr>
                <w:sz w:val="19"/>
              </w:rPr>
              <w:t xml:space="preserve"> — create-only</w:t>
            </w:r>
          </w:p>
        </w:tc>
      </w:tr>
      <w:tr>
        <w:tc>
          <w:tcPr>
            <w:tcW w:type="dxa" w:w="4873"/>
          </w:tcPr>
          <w:p>
            <w:pPr>
              <w:spacing w:after="40" w:before="40"/>
              <w:jc w:val="left"/>
            </w:pPr>
            <w:r>
              <w:rPr>
                <w:sz w:val="19"/>
              </w:rPr>
              <w:t>Marketing execution</w:t>
            </w:r>
          </w:p>
        </w:tc>
        <w:tc>
          <w:tcPr>
            <w:tcW w:type="dxa" w:w="4873"/>
          </w:tcPr>
          <w:p>
            <w:pPr>
              <w:spacing w:after="40" w:before="40"/>
              <w:jc w:val="left"/>
            </w:pPr>
            <w:r>
              <w:rPr>
                <w:rFonts w:ascii="Consolas" w:hAnsi="Consolas"/>
                <w:color w:val="9C274E"/>
                <w:sz w:val="18"/>
              </w:rPr>
              <w:t>CampaignAudience</w:t>
            </w:r>
            <w:r>
              <w:rPr>
                <w:sz w:val="19"/>
              </w:rPr>
              <w:t xml:space="preserve"> — no campaign, no send</w:t>
            </w:r>
          </w:p>
        </w:tc>
      </w:tr>
      <w:tr>
        <w:tc>
          <w:tcPr>
            <w:tcW w:type="dxa" w:w="4873"/>
            <w:shd w:val="clear" w:color="auto" w:fill="F4F6F9"/>
          </w:tcPr>
          <w:p>
            <w:pPr>
              <w:spacing w:after="40" w:before="40"/>
              <w:jc w:val="left"/>
            </w:pPr>
            <w:r>
              <w:rPr>
                <w:sz w:val="19"/>
              </w:rPr>
              <w:t>Reporting and dashboards</w:t>
            </w:r>
          </w:p>
        </w:tc>
        <w:tc>
          <w:tcPr>
            <w:tcW w:type="dxa" w:w="4873"/>
            <w:shd w:val="clear" w:color="auto" w:fill="F4F6F9"/>
          </w:tcPr>
          <w:p>
            <w:pPr>
              <w:spacing w:after="40" w:before="40"/>
              <w:jc w:val="left"/>
            </w:pPr>
            <w:r>
              <w:rPr>
                <w:sz w:val="19"/>
              </w:rPr>
              <w:t xml:space="preserve">Per-entity </w:t>
            </w:r>
            <w:r>
              <w:rPr>
                <w:rFonts w:ascii="Consolas" w:hAnsi="Consolas"/>
                <w:color w:val="9C274E"/>
                <w:sz w:val="18"/>
              </w:rPr>
              <w:t>list</w:t>
            </w:r>
            <w:r>
              <w:rPr>
                <w:sz w:val="19"/>
              </w:rPr>
              <w:t xml:space="preserve"> with </w:t>
            </w:r>
            <w:r>
              <w:rPr>
                <w:rFonts w:ascii="Consolas" w:hAnsi="Consolas"/>
                <w:color w:val="9C274E"/>
                <w:sz w:val="18"/>
              </w:rPr>
              <w:t>limit</w:t>
            </w:r>
            <w:r>
              <w:rPr>
                <w:sz w:val="19"/>
              </w:rPr>
              <w:t xml:space="preserve"> 20</w:t>
            </w:r>
          </w:p>
        </w:tc>
      </w:tr>
      <w:tr>
        <w:tc>
          <w:tcPr>
            <w:tcW w:type="dxa" w:w="4873"/>
          </w:tcPr>
          <w:p>
            <w:pPr>
              <w:spacing w:after="40" w:before="40"/>
              <w:jc w:val="left"/>
            </w:pPr>
            <w:r>
              <w:rPr>
                <w:sz w:val="19"/>
              </w:rPr>
              <w:t>Knowledge and grounding</w:t>
            </w:r>
          </w:p>
        </w:tc>
        <w:tc>
          <w:tcPr>
            <w:tcW w:type="dxa" w:w="4873"/>
          </w:tcPr>
          <w:p>
            <w:pPr>
              <w:spacing w:after="40" w:before="40"/>
              <w:jc w:val="left"/>
            </w:pPr>
            <w:r>
              <w:rPr>
                <w:rFonts w:ascii="Consolas" w:hAnsi="Consolas"/>
                <w:color w:val="9C274E"/>
                <w:sz w:val="18"/>
              </w:rPr>
              <w:t>FileAttachment</w:t>
            </w:r>
            <w:r>
              <w:rPr>
                <w:sz w:val="19"/>
              </w:rPr>
              <w:t xml:space="preserve"> — unindexed</w:t>
            </w:r>
          </w:p>
        </w:tc>
      </w:tr>
      <w:tr>
        <w:tc>
          <w:tcPr>
            <w:tcW w:type="dxa" w:w="4873"/>
            <w:shd w:val="clear" w:color="auto" w:fill="F4F6F9"/>
          </w:tcPr>
          <w:p>
            <w:pPr>
              <w:spacing w:after="40" w:before="40"/>
              <w:jc w:val="left"/>
            </w:pPr>
            <w:r>
              <w:rPr>
                <w:sz w:val="19"/>
              </w:rPr>
              <w:t>Inventory and purchasing</w:t>
            </w:r>
          </w:p>
        </w:tc>
        <w:tc>
          <w:tcPr>
            <w:tcW w:type="dxa" w:w="4873"/>
            <w:shd w:val="clear" w:color="auto" w:fill="F4F6F9"/>
          </w:tcPr>
          <w:p>
            <w:pPr>
              <w:spacing w:after="40" w:before="40"/>
              <w:jc w:val="left"/>
            </w:pPr>
            <w:r>
              <w:rPr>
                <w:rFonts w:ascii="Consolas" w:hAnsi="Consolas"/>
                <w:color w:val="9C274E"/>
                <w:sz w:val="18"/>
              </w:rPr>
              <w:t>Item</w:t>
            </w:r>
            <w:r>
              <w:rPr>
                <w:sz w:val="19"/>
              </w:rPr>
              <w:t xml:space="preserve"> — no stock, no vendor side</w:t>
            </w:r>
          </w:p>
        </w:tc>
      </w:tr>
    </w:tbl>
    <w:p>
      <w:pPr>
        <w:spacing w:after="80"/>
      </w:pPr>
    </w:p>
    <w:p>
      <w:pPr>
        <w:spacing w:before="80" w:after="200"/>
        <w:pBdr>
          <w:bottom w:val="single" w:sz="8" w:space="8" w:color="C9D1DC"/>
        </w:pBdr>
      </w:pPr>
      <w:r>
        <w:br w:type="page"/>
      </w:r>
    </w:p>
    <w:p>
      <w:pPr>
        <w:pStyle w:val="Heading2"/>
      </w:pPr>
      <w:r>
        <w:t>3. Competitive landscape</w:t>
      </w:r>
    </w:p>
    <w:p>
      <w:r>
        <w:t>AgentSwitch will be measured against three different sets of expectations depending on who is in the room.</w:t>
      </w:r>
    </w:p>
    <w:p>
      <w:pPr>
        <w:pStyle w:val="Heading3"/>
      </w:pPr>
      <w:r>
        <w:t>3.1 The three tiers</w:t>
      </w:r>
    </w:p>
    <w:p>
      <w:r>
        <w:rPr>
          <w:b/>
        </w:rPr>
        <w:t>Enterprise agentic CRM</w:t>
      </w:r>
    </w:p>
    <w:p>
      <w:r>
        <w:t>Salesforce Agentforce 360 — Agentforce Builder, Agent Script for deterministic control, Agent Health Monitoring, Data Cloud grounding; 18,500 customers and 3 billion monthly workflows. HubSpot Breeze — Copilot, Agents, Intelligence and Studio, shipped down to the free CRM tier. Microsoft Dynamics 365 Copilot and Copilot Studio — Graph grounding, computer use, Power Platform governance.</w:t>
      </w:r>
    </w:p>
    <w:p>
      <w:r>
        <w:rPr>
          <w:b/>
        </w:rPr>
        <w:t>AI-native MCP CRM</w:t>
      </w:r>
    </w:p>
    <w:p>
      <w:r>
        <w:t xml:space="preserve">Attio — hosted server at </w:t>
      </w:r>
      <w:r>
        <w:rPr>
          <w:rFonts w:ascii="Consolas" w:hAnsi="Consolas"/>
          <w:color w:val="9C274E"/>
          <w:sz w:val="20"/>
        </w:rPr>
        <w:t>mcp.attio.com/mcp</w:t>
      </w:r>
      <w:r>
        <w:t>, OAuth, reads auto-approve and writes require confirmation. Close — the other CRM with first-party MCP. Day.ai — captures first and structures later, exposes customer memory over MCP. Twenty — open source, self-hostable, permission-aware agents. Plus folk, and Clay as an enrichment layer rather than a CRM.</w:t>
      </w:r>
    </w:p>
    <w:p>
      <w:r>
        <w:rPr>
          <w:b/>
        </w:rPr>
        <w:t>India SMB CRM and ERP</w:t>
      </w:r>
    </w:p>
    <w:p>
      <w:r>
        <w:t>Zoho CRM — CPQ, forecasting, inventory and Zia, with AI agents from the Professional tier. Odoo. ERPNext and Frappe — GST and e-invoicing native. Vtiger, Kylas, LeadSquared.</w:t>
      </w:r>
    </w:p>
    <w:p>
      <w:pPr>
        <w:pStyle w:val="Heading3"/>
      </w:pPr>
      <w:r>
        <w:t>3.2 Capability matrix</w:t>
      </w:r>
    </w:p>
    <w:p>
      <w:r>
        <w:t xml:space="preserve">Assessed against one representative per tier. </w:t>
      </w:r>
      <w:r>
        <w:rPr>
          <w:b/>
        </w:rPr>
        <w:t>Y</w:t>
      </w:r>
      <w:r>
        <w:t xml:space="preserve"> = ships it, </w:t>
      </w:r>
      <w:r>
        <w:rPr>
          <w:b/>
        </w:rPr>
        <w:t>~</w:t>
      </w:r>
      <w:r>
        <w:t xml:space="preserve"> = partial, </w:t>
      </w:r>
      <w:r>
        <w:rPr>
          <w:b/>
        </w:rPr>
        <w:t>·</w:t>
      </w:r>
      <w:r>
        <w:t xml:space="preserve"> = absent.</w:t>
      </w:r>
    </w:p>
    <w:tbl>
      <w:tblPr>
        <w:tblStyle w:val="TableGrid"/>
        <w:tblW w:type="auto" w:w="0"/>
        <w:jc w:val="center"/>
        <w:tblLayout w:type="autofit"/>
        <w:tblLook w:firstColumn="1" w:firstRow="1" w:lastColumn="0" w:lastRow="0" w:noHBand="0" w:noVBand="1" w:val="04A0"/>
        <w:tblCellMar>
          <w:top w:w="60" w:type="dxa"/>
          <w:bottom w:w="60" w:type="dxa"/>
          <w:left w:w="70" w:type="dxa"/>
          <w:right w:w="70" w:type="dxa"/>
        </w:tblCellMar>
      </w:tblPr>
      <w:tblGrid>
        <w:gridCol w:w="1392"/>
        <w:gridCol w:w="1392"/>
        <w:gridCol w:w="1392"/>
        <w:gridCol w:w="1392"/>
        <w:gridCol w:w="1392"/>
        <w:gridCol w:w="1392"/>
        <w:gridCol w:w="1392"/>
      </w:tblGrid>
      <w:tr>
        <w:trPr>
          <w:tblHeader w:val="true"/>
        </w:trPr>
        <w:tc>
          <w:tcPr>
            <w:tcW w:type="dxa" w:w="1392"/>
            <w:shd w:val="clear" w:color="auto" w:fill="1F3864"/>
          </w:tcPr>
          <w:p>
            <w:pPr>
              <w:spacing w:after="40" w:before="40"/>
              <w:jc w:val="left"/>
            </w:pPr>
            <w:r>
              <w:rPr>
                <w:b/>
                <w:color w:val="FFFFFF"/>
                <w:sz w:val="17"/>
              </w:rPr>
              <w:t>Capability</w:t>
            </w:r>
          </w:p>
        </w:tc>
        <w:tc>
          <w:tcPr>
            <w:tcW w:type="dxa" w:w="1392"/>
            <w:shd w:val="clear" w:color="auto" w:fill="1F3864"/>
          </w:tcPr>
          <w:p>
            <w:pPr>
              <w:spacing w:after="40" w:before="40"/>
              <w:jc w:val="center"/>
            </w:pPr>
            <w:r>
              <w:rPr>
                <w:b/>
                <w:color w:val="FFFFFF"/>
                <w:sz w:val="17"/>
              </w:rPr>
              <w:t>AgentSwitch</w:t>
            </w:r>
          </w:p>
        </w:tc>
        <w:tc>
          <w:tcPr>
            <w:tcW w:type="dxa" w:w="1392"/>
            <w:shd w:val="clear" w:color="auto" w:fill="1F3864"/>
          </w:tcPr>
          <w:p>
            <w:pPr>
              <w:spacing w:after="40" w:before="40"/>
              <w:jc w:val="center"/>
            </w:pPr>
            <w:r>
              <w:rPr>
                <w:b/>
                <w:color w:val="FFFFFF"/>
                <w:sz w:val="17"/>
              </w:rPr>
              <w:t>Agentforce</w:t>
            </w:r>
          </w:p>
        </w:tc>
        <w:tc>
          <w:tcPr>
            <w:tcW w:type="dxa" w:w="1392"/>
            <w:shd w:val="clear" w:color="auto" w:fill="1F3864"/>
          </w:tcPr>
          <w:p>
            <w:pPr>
              <w:spacing w:after="40" w:before="40"/>
              <w:jc w:val="center"/>
            </w:pPr>
            <w:r>
              <w:rPr>
                <w:b/>
                <w:color w:val="FFFFFF"/>
                <w:sz w:val="17"/>
              </w:rPr>
              <w:t>Breeze</w:t>
            </w:r>
          </w:p>
        </w:tc>
        <w:tc>
          <w:tcPr>
            <w:tcW w:type="dxa" w:w="1392"/>
            <w:shd w:val="clear" w:color="auto" w:fill="1F3864"/>
          </w:tcPr>
          <w:p>
            <w:pPr>
              <w:spacing w:after="40" w:before="40"/>
              <w:jc w:val="center"/>
            </w:pPr>
            <w:r>
              <w:rPr>
                <w:b/>
                <w:color w:val="FFFFFF"/>
                <w:sz w:val="17"/>
              </w:rPr>
              <w:t>Attio</w:t>
            </w:r>
          </w:p>
        </w:tc>
        <w:tc>
          <w:tcPr>
            <w:tcW w:type="dxa" w:w="1392"/>
            <w:shd w:val="clear" w:color="auto" w:fill="1F3864"/>
          </w:tcPr>
          <w:p>
            <w:pPr>
              <w:spacing w:after="40" w:before="40"/>
              <w:jc w:val="center"/>
            </w:pPr>
            <w:r>
              <w:rPr>
                <w:b/>
                <w:color w:val="FFFFFF"/>
                <w:sz w:val="17"/>
              </w:rPr>
              <w:t>Zoho</w:t>
            </w:r>
          </w:p>
        </w:tc>
        <w:tc>
          <w:tcPr>
            <w:tcW w:type="dxa" w:w="1392"/>
            <w:shd w:val="clear" w:color="auto" w:fill="1F3864"/>
          </w:tcPr>
          <w:p>
            <w:pPr>
              <w:spacing w:after="40" w:before="40"/>
              <w:jc w:val="center"/>
            </w:pPr>
            <w:r>
              <w:rPr>
                <w:b/>
                <w:color w:val="FFFFFF"/>
                <w:sz w:val="17"/>
              </w:rPr>
              <w:t>ERPNext</w:t>
            </w:r>
          </w:p>
        </w:tc>
      </w:tr>
      <w:tr>
        <w:tc>
          <w:tcPr>
            <w:tcW w:type="dxa" w:w="1392"/>
          </w:tcPr>
          <w:p>
            <w:pPr>
              <w:spacing w:after="40" w:before="40"/>
              <w:jc w:val="left"/>
            </w:pPr>
            <w:r>
              <w:rPr>
                <w:sz w:val="17"/>
              </w:rPr>
              <w:t>First-party MCP server</w:t>
            </w:r>
          </w:p>
        </w:tc>
        <w:tc>
          <w:tcPr>
            <w:tcW w:type="dxa" w:w="1392"/>
          </w:tcPr>
          <w:p>
            <w:pPr>
              <w:spacing w:after="40" w:before="40"/>
              <w:jc w:val="center"/>
            </w:pPr>
            <w:r>
              <w:rPr>
                <w:b/>
                <w:sz w:val="17"/>
              </w:rPr>
              <w:t>Y</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c>
          <w:tcPr>
            <w:tcW w:type="dxa" w:w="1392"/>
          </w:tcPr>
          <w:p>
            <w:pPr>
              <w:spacing w:after="40" w:before="40"/>
              <w:jc w:val="center"/>
            </w:pPr>
            <w:r>
              <w:rPr>
                <w:sz w:val="17"/>
              </w:rPr>
              <w:t>·</w:t>
            </w:r>
          </w:p>
        </w:tc>
      </w:tr>
      <w:tr>
        <w:tc>
          <w:tcPr>
            <w:tcW w:type="dxa" w:w="1392"/>
            <w:shd w:val="clear" w:color="auto" w:fill="F4F6F9"/>
          </w:tcPr>
          <w:p>
            <w:pPr>
              <w:spacing w:after="40" w:before="40"/>
              <w:jc w:val="left"/>
            </w:pPr>
            <w:r>
              <w:rPr>
                <w:sz w:val="17"/>
              </w:rPr>
              <w:t>Permission-scoped tool discovery</w:t>
            </w:r>
          </w:p>
        </w:tc>
        <w:tc>
          <w:tcPr>
            <w:tcW w:type="dxa" w:w="1392"/>
            <w:shd w:val="clear" w:color="auto" w:fill="F4F6F9"/>
          </w:tcPr>
          <w:p>
            <w:pPr>
              <w:spacing w:after="40" w:before="40"/>
              <w:jc w:val="center"/>
            </w:pPr>
            <w:r>
              <w:rPr>
                <w:b/>
                <w:sz w:val="17"/>
              </w:rPr>
              <w:t>Y</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r>
      <w:tr>
        <w:tc>
          <w:tcPr>
            <w:tcW w:type="dxa" w:w="1392"/>
          </w:tcPr>
          <w:p>
            <w:pPr>
              <w:spacing w:after="40" w:before="40"/>
              <w:jc w:val="left"/>
            </w:pPr>
            <w:r>
              <w:rPr>
                <w:sz w:val="17"/>
              </w:rPr>
              <w:t>Cryptographic run ledger</w:t>
            </w:r>
          </w:p>
        </w:tc>
        <w:tc>
          <w:tcPr>
            <w:tcW w:type="dxa" w:w="1392"/>
          </w:tcPr>
          <w:p>
            <w:pPr>
              <w:spacing w:after="40" w:before="40"/>
              <w:jc w:val="center"/>
            </w:pPr>
            <w:r>
              <w:rPr>
                <w:b/>
                <w:sz w:val="17"/>
              </w:rPr>
              <w:t>Y</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w:t>
            </w:r>
          </w:p>
        </w:tc>
      </w:tr>
      <w:tr>
        <w:tc>
          <w:tcPr>
            <w:tcW w:type="dxa" w:w="1392"/>
            <w:shd w:val="clear" w:color="auto" w:fill="F4F6F9"/>
          </w:tcPr>
          <w:p>
            <w:pPr>
              <w:spacing w:after="40" w:before="40"/>
              <w:jc w:val="left"/>
            </w:pPr>
            <w:r>
              <w:rPr>
                <w:sz w:val="17"/>
              </w:rPr>
              <w:t>DSAR and retention automation</w:t>
            </w:r>
          </w:p>
        </w:tc>
        <w:tc>
          <w:tcPr>
            <w:tcW w:type="dxa" w:w="1392"/>
            <w:shd w:val="clear" w:color="auto" w:fill="F4F6F9"/>
          </w:tcPr>
          <w:p>
            <w:pPr>
              <w:spacing w:after="40" w:before="40"/>
              <w:jc w:val="center"/>
            </w:pPr>
            <w:r>
              <w:rPr>
                <w:b/>
                <w:sz w:val="17"/>
              </w:rPr>
              <w:t>Y</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r>
      <w:tr>
        <w:tc>
          <w:tcPr>
            <w:tcW w:type="dxa" w:w="1392"/>
          </w:tcPr>
          <w:p>
            <w:pPr>
              <w:spacing w:after="40" w:before="40"/>
              <w:jc w:val="left"/>
            </w:pPr>
            <w:r>
              <w:rPr>
                <w:sz w:val="17"/>
              </w:rPr>
              <w:t>Human escalation queue</w:t>
            </w:r>
          </w:p>
        </w:tc>
        <w:tc>
          <w:tcPr>
            <w:tcW w:type="dxa" w:w="1392"/>
          </w:tcPr>
          <w:p>
            <w:pPr>
              <w:spacing w:after="40" w:before="40"/>
              <w:jc w:val="center"/>
            </w:pPr>
            <w:r>
              <w:rPr>
                <w:b/>
                <w:sz w:val="17"/>
              </w:rPr>
              <w:t>Y</w:t>
            </w:r>
          </w:p>
        </w:tc>
        <w:tc>
          <w:tcPr>
            <w:tcW w:type="dxa" w:w="1392"/>
          </w:tcPr>
          <w:p>
            <w:pPr>
              <w:spacing w:after="40" w:before="40"/>
              <w:jc w:val="center"/>
            </w:pPr>
            <w:r>
              <w:rPr>
                <w:sz w:val="17"/>
              </w:rPr>
              <w:t>Y</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w:t>
            </w:r>
          </w:p>
        </w:tc>
      </w:tr>
      <w:tr>
        <w:tc>
          <w:tcPr>
            <w:tcW w:type="dxa" w:w="1392"/>
            <w:shd w:val="clear" w:color="auto" w:fill="F4F6F9"/>
          </w:tcPr>
          <w:p>
            <w:pPr>
              <w:spacing w:after="40" w:before="40"/>
              <w:jc w:val="left"/>
            </w:pPr>
            <w:r>
              <w:rPr>
                <w:sz w:val="17"/>
              </w:rPr>
              <w:t>Per-agent cost and token budgets</w:t>
            </w:r>
          </w:p>
        </w:tc>
        <w:tc>
          <w:tcPr>
            <w:tcW w:type="dxa" w:w="1392"/>
            <w:shd w:val="clear" w:color="auto" w:fill="F4F6F9"/>
          </w:tcPr>
          <w:p>
            <w:pPr>
              <w:spacing w:after="40" w:before="40"/>
              <w:jc w:val="center"/>
            </w:pPr>
            <w:r>
              <w:rPr>
                <w:b/>
                <w:sz w:val="17"/>
              </w:rPr>
              <w:t>Y</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r>
      <w:tr>
        <w:tc>
          <w:tcPr>
            <w:tcW w:type="dxa" w:w="1392"/>
          </w:tcPr>
          <w:p>
            <w:pPr>
              <w:spacing w:after="40" w:before="40"/>
              <w:jc w:val="left"/>
            </w:pPr>
            <w:r>
              <w:rPr>
                <w:sz w:val="17"/>
              </w:rPr>
              <w:t>Agent authoring and deploy</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r>
      <w:tr>
        <w:tc>
          <w:tcPr>
            <w:tcW w:type="dxa" w:w="1392"/>
            <w:shd w:val="clear" w:color="auto" w:fill="F4F6F9"/>
          </w:tcPr>
          <w:p>
            <w:pPr>
              <w:spacing w:after="40" w:before="40"/>
              <w:jc w:val="left"/>
            </w:pPr>
            <w:r>
              <w:rPr>
                <w:sz w:val="17"/>
              </w:rPr>
              <w:t>Agent evaluation and testing</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r>
      <w:tr>
        <w:tc>
          <w:tcPr>
            <w:tcW w:type="dxa" w:w="1392"/>
          </w:tcPr>
          <w:p>
            <w:pPr>
              <w:spacing w:after="40" w:before="40"/>
              <w:jc w:val="left"/>
            </w:pPr>
            <w:r>
              <w:rPr>
                <w:sz w:val="17"/>
              </w:rPr>
              <w:t>Knowledge grounding and RAG</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r>
      <w:tr>
        <w:tc>
          <w:tcPr>
            <w:tcW w:type="dxa" w:w="1392"/>
            <w:shd w:val="clear" w:color="auto" w:fill="F4F6F9"/>
          </w:tcPr>
          <w:p>
            <w:pPr>
              <w:spacing w:after="40" w:before="40"/>
              <w:jc w:val="left"/>
            </w:pPr>
            <w:r>
              <w:rPr>
                <w:sz w:val="17"/>
              </w:rPr>
              <w:t>Aggregate reporting</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Y</w:t>
            </w:r>
          </w:p>
        </w:tc>
      </w:tr>
      <w:tr>
        <w:tc>
          <w:tcPr>
            <w:tcW w:type="dxa" w:w="1392"/>
          </w:tcPr>
          <w:p>
            <w:pPr>
              <w:spacing w:after="40" w:before="40"/>
              <w:jc w:val="left"/>
            </w:pPr>
            <w:r>
              <w:rPr>
                <w:sz w:val="17"/>
              </w:rPr>
              <w:t>Forecasting and quota</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r>
      <w:tr>
        <w:tc>
          <w:tcPr>
            <w:tcW w:type="dxa" w:w="1392"/>
            <w:shd w:val="clear" w:color="auto" w:fill="F4F6F9"/>
          </w:tcPr>
          <w:p>
            <w:pPr>
              <w:spacing w:after="40" w:before="40"/>
              <w:jc w:val="left"/>
            </w:pPr>
            <w:r>
              <w:rPr>
                <w:sz w:val="17"/>
              </w:rPr>
              <w:t>Invoicing and payments</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Y</w:t>
            </w:r>
          </w:p>
        </w:tc>
      </w:tr>
      <w:tr>
        <w:tc>
          <w:tcPr>
            <w:tcW w:type="dxa" w:w="1392"/>
          </w:tcPr>
          <w:p>
            <w:pPr>
              <w:spacing w:after="40" w:before="40"/>
              <w:jc w:val="left"/>
            </w:pPr>
            <w:r>
              <w:rPr>
                <w:sz w:val="17"/>
              </w:rPr>
              <w:t>India GST e-invoicing</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r>
      <w:tr>
        <w:tc>
          <w:tcPr>
            <w:tcW w:type="dxa" w:w="1392"/>
            <w:shd w:val="clear" w:color="auto" w:fill="F4F6F9"/>
          </w:tcPr>
          <w:p>
            <w:pPr>
              <w:spacing w:after="40" w:before="40"/>
              <w:jc w:val="left"/>
            </w:pPr>
            <w:r>
              <w:rPr>
                <w:sz w:val="17"/>
              </w:rPr>
              <w:t>Service desk and SLA</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w:t>
            </w:r>
          </w:p>
        </w:tc>
      </w:tr>
      <w:tr>
        <w:tc>
          <w:tcPr>
            <w:tcW w:type="dxa" w:w="1392"/>
          </w:tcPr>
          <w:p>
            <w:pPr>
              <w:spacing w:after="40" w:before="40"/>
              <w:jc w:val="left"/>
            </w:pPr>
            <w:r>
              <w:rPr>
                <w:sz w:val="17"/>
              </w:rPr>
              <w:t>Email sequences</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Y</w:t>
            </w:r>
          </w:p>
        </w:tc>
        <w:tc>
          <w:tcPr>
            <w:tcW w:type="dxa" w:w="1392"/>
          </w:tcPr>
          <w:p>
            <w:pPr>
              <w:spacing w:after="40" w:before="40"/>
              <w:jc w:val="center"/>
            </w:pPr>
            <w:r>
              <w:rPr>
                <w:sz w:val="17"/>
              </w:rPr>
              <w:t>Y</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r>
      <w:tr>
        <w:tc>
          <w:tcPr>
            <w:tcW w:type="dxa" w:w="1392"/>
            <w:shd w:val="clear" w:color="auto" w:fill="F4F6F9"/>
          </w:tcPr>
          <w:p>
            <w:pPr>
              <w:spacing w:after="40" w:before="40"/>
              <w:jc w:val="left"/>
            </w:pPr>
            <w:r>
              <w:rPr>
                <w:sz w:val="17"/>
              </w:rPr>
              <w:t>Enrichment and dedupe</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Y</w:t>
            </w:r>
          </w:p>
        </w:tc>
        <w:tc>
          <w:tcPr>
            <w:tcW w:type="dxa" w:w="1392"/>
            <w:shd w:val="clear" w:color="auto" w:fill="F4F6F9"/>
          </w:tcPr>
          <w:p>
            <w:pPr>
              <w:spacing w:after="40" w:before="40"/>
              <w:jc w:val="center"/>
            </w:pPr>
            <w:r>
              <w:rPr>
                <w:sz w:val="17"/>
              </w:rPr>
              <w:t>·</w:t>
            </w:r>
          </w:p>
        </w:tc>
      </w:tr>
      <w:tr>
        <w:tc>
          <w:tcPr>
            <w:tcW w:type="dxa" w:w="1392"/>
          </w:tcPr>
          <w:p>
            <w:pPr>
              <w:spacing w:after="40" w:before="40"/>
              <w:jc w:val="left"/>
            </w:pPr>
            <w:r>
              <w:rPr>
                <w:sz w:val="17"/>
              </w:rPr>
              <w:t>Voice and telephony</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c>
          <w:tcPr>
            <w:tcW w:type="dxa" w:w="1392"/>
          </w:tcPr>
          <w:p>
            <w:pPr>
              <w:spacing w:after="40" w:before="40"/>
              <w:jc w:val="center"/>
            </w:pPr>
            <w:r>
              <w:rPr>
                <w:sz w:val="17"/>
              </w:rPr>
              <w:t>·</w:t>
            </w:r>
          </w:p>
        </w:tc>
        <w:tc>
          <w:tcPr>
            <w:tcW w:type="dxa" w:w="1392"/>
          </w:tcPr>
          <w:p>
            <w:pPr>
              <w:spacing w:after="40" w:before="40"/>
              <w:jc w:val="center"/>
            </w:pPr>
            <w:r>
              <w:rPr>
                <w:sz w:val="17"/>
              </w:rPr>
              <w:t>Y</w:t>
            </w:r>
          </w:p>
        </w:tc>
        <w:tc>
          <w:tcPr>
            <w:tcW w:type="dxa" w:w="1392"/>
          </w:tcPr>
          <w:p>
            <w:pPr>
              <w:spacing w:after="40" w:before="40"/>
              <w:jc w:val="center"/>
            </w:pPr>
            <w:r>
              <w:rPr>
                <w:sz w:val="17"/>
              </w:rPr>
              <w:t>·</w:t>
            </w:r>
          </w:p>
        </w:tc>
      </w:tr>
      <w:tr>
        <w:tc>
          <w:tcPr>
            <w:tcW w:type="dxa" w:w="1392"/>
            <w:shd w:val="clear" w:color="auto" w:fill="F4F6F9"/>
          </w:tcPr>
          <w:p>
            <w:pPr>
              <w:spacing w:after="40" w:before="40"/>
              <w:jc w:val="left"/>
            </w:pPr>
            <w:r>
              <w:rPr>
                <w:sz w:val="17"/>
              </w:rPr>
              <w:t>Observed relationship graph</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center"/>
            </w:pPr>
            <w:r>
              <w:rPr>
                <w:sz w:val="17"/>
              </w:rPr>
              <w:t>·</w:t>
            </w:r>
          </w:p>
        </w:tc>
      </w:tr>
    </w:tbl>
    <w:p>
      <w:pPr>
        <w:spacing w:after="80"/>
      </w:pPr>
    </w:p>
    <w:p>
      <w:r>
        <w:t xml:space="preserve">The shape of that table is the strategy. </w:t>
      </w:r>
      <w:r>
        <w:rPr>
          <w:b/>
        </w:rPr>
        <w:t>We win the top six rows outright and lose the middle eleven</w:t>
      </w:r>
      <w:r>
        <w:t xml:space="preserve"> — the top six are governance and trust, the middle eleven are table stakes. The last row is different from both: nobody holds it. That is the one to take.</w:t>
      </w:r>
    </w:p>
    <w:p>
      <w:pPr>
        <w:pStyle w:val="Heading3"/>
      </w:pPr>
      <w:r>
        <w:t>3.3 Commercial models</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rPr>
          <w:tblHeader w:val="true"/>
        </w:trPr>
        <w:tc>
          <w:tcPr>
            <w:tcW w:type="dxa" w:w="4873"/>
            <w:shd w:val="clear" w:color="auto" w:fill="1F3864"/>
          </w:tcPr>
          <w:p>
            <w:pPr>
              <w:spacing w:after="40" w:before="40"/>
              <w:jc w:val="left"/>
            </w:pPr>
            <w:r>
              <w:rPr>
                <w:b/>
                <w:color w:val="FFFFFF"/>
                <w:sz w:val="19"/>
              </w:rPr>
              <w:t>Vendor</w:t>
            </w:r>
          </w:p>
        </w:tc>
        <w:tc>
          <w:tcPr>
            <w:tcW w:type="dxa" w:w="4873"/>
            <w:shd w:val="clear" w:color="auto" w:fill="1F3864"/>
          </w:tcPr>
          <w:p>
            <w:pPr>
              <w:spacing w:after="40" w:before="40"/>
              <w:jc w:val="left"/>
            </w:pPr>
            <w:r>
              <w:rPr>
                <w:b/>
                <w:color w:val="FFFFFF"/>
                <w:sz w:val="19"/>
              </w:rPr>
              <w:t>Model</w:t>
            </w:r>
          </w:p>
        </w:tc>
      </w:tr>
      <w:tr>
        <w:tc>
          <w:tcPr>
            <w:tcW w:type="dxa" w:w="4873"/>
          </w:tcPr>
          <w:p>
            <w:pPr>
              <w:spacing w:after="40" w:before="40"/>
              <w:jc w:val="left"/>
            </w:pPr>
            <w:r>
              <w:rPr>
                <w:sz w:val="19"/>
              </w:rPr>
              <w:t>Agentforce</w:t>
            </w:r>
          </w:p>
        </w:tc>
        <w:tc>
          <w:tcPr>
            <w:tcW w:type="dxa" w:w="4873"/>
          </w:tcPr>
          <w:p>
            <w:pPr>
              <w:spacing w:after="40" w:before="40"/>
              <w:jc w:val="left"/>
            </w:pPr>
            <w:r>
              <w:rPr>
                <w:sz w:val="19"/>
              </w:rPr>
              <w:t>Enterprise tier plus consumption; Data Cloud setup measured in weeks to months</w:t>
            </w:r>
          </w:p>
        </w:tc>
      </w:tr>
      <w:tr>
        <w:tc>
          <w:tcPr>
            <w:tcW w:type="dxa" w:w="4873"/>
            <w:shd w:val="clear" w:color="auto" w:fill="F4F6F9"/>
          </w:tcPr>
          <w:p>
            <w:pPr>
              <w:spacing w:after="40" w:before="40"/>
              <w:jc w:val="left"/>
            </w:pPr>
            <w:r>
              <w:rPr>
                <w:sz w:val="19"/>
              </w:rPr>
              <w:t>Breeze</w:t>
            </w:r>
          </w:p>
        </w:tc>
        <w:tc>
          <w:tcPr>
            <w:tcW w:type="dxa" w:w="4873"/>
            <w:shd w:val="clear" w:color="auto" w:fill="F4F6F9"/>
          </w:tcPr>
          <w:p>
            <w:pPr>
              <w:spacing w:after="40" w:before="40"/>
              <w:jc w:val="left"/>
            </w:pPr>
            <w:r>
              <w:rPr>
                <w:sz w:val="19"/>
              </w:rPr>
              <w:t>Credits at USD 10 per 1,000 — a resolved conversation costs 50 credits, about USD 0.50</w:t>
            </w:r>
          </w:p>
        </w:tc>
      </w:tr>
      <w:tr>
        <w:tc>
          <w:tcPr>
            <w:tcW w:type="dxa" w:w="4873"/>
          </w:tcPr>
          <w:p>
            <w:pPr>
              <w:spacing w:after="40" w:before="40"/>
              <w:jc w:val="left"/>
            </w:pPr>
            <w:r>
              <w:rPr>
                <w:sz w:val="19"/>
              </w:rPr>
              <w:t>Copilot Studio</w:t>
            </w:r>
          </w:p>
        </w:tc>
        <w:tc>
          <w:tcPr>
            <w:tcW w:type="dxa" w:w="4873"/>
          </w:tcPr>
          <w:p>
            <w:pPr>
              <w:spacing w:after="40" w:before="40"/>
              <w:jc w:val="left"/>
            </w:pPr>
            <w:r>
              <w:rPr>
                <w:sz w:val="19"/>
              </w:rPr>
              <w:t>USD 200/month per 25,000 credits; Dynamics SKUs include Copilot as of 2026</w:t>
            </w:r>
          </w:p>
        </w:tc>
      </w:tr>
      <w:tr>
        <w:tc>
          <w:tcPr>
            <w:tcW w:type="dxa" w:w="4873"/>
            <w:shd w:val="clear" w:color="auto" w:fill="F4F6F9"/>
          </w:tcPr>
          <w:p>
            <w:pPr>
              <w:spacing w:after="40" w:before="40"/>
              <w:jc w:val="left"/>
            </w:pPr>
            <w:r>
              <w:rPr>
                <w:sz w:val="19"/>
              </w:rPr>
              <w:t>Attio</w:t>
            </w:r>
          </w:p>
        </w:tc>
        <w:tc>
          <w:tcPr>
            <w:tcW w:type="dxa" w:w="4873"/>
            <w:shd w:val="clear" w:color="auto" w:fill="F4F6F9"/>
          </w:tcPr>
          <w:p>
            <w:pPr>
              <w:spacing w:after="40" w:before="40"/>
              <w:jc w:val="left"/>
            </w:pPr>
            <w:r>
              <w:rPr>
                <w:sz w:val="19"/>
              </w:rPr>
              <w:t>Per seat, annual only; free tier of 3 seats and 50,000 records</w:t>
            </w:r>
          </w:p>
        </w:tc>
      </w:tr>
      <w:tr>
        <w:tc>
          <w:tcPr>
            <w:tcW w:type="dxa" w:w="4873"/>
          </w:tcPr>
          <w:p>
            <w:pPr>
              <w:spacing w:after="40" w:before="40"/>
              <w:jc w:val="left"/>
            </w:pPr>
            <w:r>
              <w:rPr>
                <w:sz w:val="19"/>
              </w:rPr>
              <w:t>Zoho CRM</w:t>
            </w:r>
          </w:p>
        </w:tc>
        <w:tc>
          <w:tcPr>
            <w:tcW w:type="dxa" w:w="4873"/>
          </w:tcPr>
          <w:p>
            <w:pPr>
              <w:spacing w:after="40" w:before="40"/>
              <w:jc w:val="left"/>
            </w:pPr>
            <w:r>
              <w:rPr>
                <w:sz w:val="19"/>
              </w:rPr>
              <w:t>Free for 3 users; INR 800 – 2,400 per user per month</w:t>
            </w:r>
          </w:p>
        </w:tc>
      </w:tr>
      <w:tr>
        <w:tc>
          <w:tcPr>
            <w:tcW w:type="dxa" w:w="4873"/>
            <w:shd w:val="clear" w:color="auto" w:fill="F4F6F9"/>
          </w:tcPr>
          <w:p>
            <w:pPr>
              <w:spacing w:after="40" w:before="40"/>
              <w:jc w:val="left"/>
            </w:pPr>
            <w:r>
              <w:rPr>
                <w:sz w:val="19"/>
              </w:rPr>
              <w:t>Kylas</w:t>
            </w:r>
          </w:p>
        </w:tc>
        <w:tc>
          <w:tcPr>
            <w:tcW w:type="dxa" w:w="4873"/>
            <w:shd w:val="clear" w:color="auto" w:fill="F4F6F9"/>
          </w:tcPr>
          <w:p>
            <w:pPr>
              <w:spacing w:after="40" w:before="40"/>
              <w:jc w:val="left"/>
            </w:pPr>
            <w:r>
              <w:rPr>
                <w:sz w:val="19"/>
              </w:rPr>
              <w:t>INR 12,999/month flat, unlimited users, up to 100,000 records</w:t>
            </w:r>
          </w:p>
        </w:tc>
      </w:tr>
      <w:tr>
        <w:tc>
          <w:tcPr>
            <w:tcW w:type="dxa" w:w="4873"/>
          </w:tcPr>
          <w:p>
            <w:pPr>
              <w:spacing w:after="40" w:before="40"/>
              <w:jc w:val="left"/>
            </w:pPr>
            <w:r>
              <w:rPr>
                <w:sz w:val="19"/>
              </w:rPr>
              <w:t>ERPNext</w:t>
            </w:r>
          </w:p>
        </w:tc>
        <w:tc>
          <w:tcPr>
            <w:tcW w:type="dxa" w:w="4873"/>
          </w:tcPr>
          <w:p>
            <w:pPr>
              <w:spacing w:after="40" w:before="40"/>
              <w:jc w:val="left"/>
            </w:pPr>
            <w:r>
              <w:rPr>
                <w:sz w:val="19"/>
              </w:rPr>
              <w:t>No licence fee; roughly INR 3–6 lakh per year all-in for 25 users</w:t>
            </w:r>
          </w:p>
        </w:tc>
      </w:tr>
    </w:tbl>
    <w:p>
      <w:pPr>
        <w:spacing w:after="80"/>
      </w:pPr>
    </w:p>
    <w:p>
      <w:pPr>
        <w:spacing w:before="160" w:after="200"/>
        <w:ind w:left="227" w:right="113"/>
        <w:pBdr>
          <w:left w:val="single" w:sz="24" w:space="8" w:color="2F5496"/>
        </w:pBdr>
        <w:shd w:val="clear" w:color="auto" w:fill="F7F9FC"/>
      </w:pPr>
      <w:r>
        <w:rPr>
          <w:color w:val="2B3340"/>
          <w:sz w:val="20"/>
        </w:rPr>
        <w:t xml:space="preserve">The India SMB tier anchors buyer expectations far below the enterprise agentic tier. </w:t>
      </w:r>
      <w:r>
        <w:rPr>
          <w:b/>
          <w:color w:val="2B3340"/>
          <w:sz w:val="20"/>
        </w:rPr>
        <w:t>That is the corridor AgentSwitch has to price into while carrying governance that looks like the top tier</w:t>
      </w:r>
      <w:r>
        <w:rPr>
          <w:color w:val="2B3340"/>
          <w:sz w:val="20"/>
        </w:rPr>
        <w:t xml:space="preserve"> — which is only defensible if the governance story is told loudly.</w:t>
      </w:r>
    </w:p>
    <w:p>
      <w:pPr>
        <w:spacing w:before="80" w:after="200"/>
        <w:pBdr>
          <w:bottom w:val="single" w:sz="8" w:space="8" w:color="C9D1DC"/>
        </w:pBdr>
      </w:pPr>
      <w:r>
        <w:br w:type="page"/>
      </w:r>
    </w:p>
    <w:p>
      <w:pPr>
        <w:pStyle w:val="Heading2"/>
      </w:pPr>
      <w:r>
        <w:t>4. Gap register</w:t>
      </w:r>
    </w:p>
    <w:p>
      <w:r>
        <w:rPr>
          <w:b/>
        </w:rPr>
        <w:t>Priority</w:t>
      </w:r>
      <w:r>
        <w:t xml:space="preserve"> — </w:t>
      </w:r>
      <w:r>
        <w:rPr>
          <w:rFonts w:ascii="Consolas" w:hAnsi="Consolas"/>
          <w:color w:val="9C274E"/>
          <w:sz w:val="20"/>
        </w:rPr>
        <w:t>P0</w:t>
      </w:r>
      <w:r>
        <w:t xml:space="preserve"> blocks agent usefulness or a live deal · </w:t>
      </w:r>
      <w:r>
        <w:rPr>
          <w:rFonts w:ascii="Consolas" w:hAnsi="Consolas"/>
          <w:color w:val="9C274E"/>
          <w:sz w:val="20"/>
        </w:rPr>
        <w:t>P1</w:t>
      </w:r>
      <w:r>
        <w:t xml:space="preserve"> is parity a competitor markets against us · </w:t>
      </w:r>
      <w:r>
        <w:rPr>
          <w:rFonts w:ascii="Consolas" w:hAnsi="Consolas"/>
          <w:color w:val="9C274E"/>
          <w:sz w:val="20"/>
        </w:rPr>
        <w:t>P2</w:t>
      </w:r>
      <w:r>
        <w:t xml:space="preserve"> extends a defensible advantage.</w:t>
      </w:r>
    </w:p>
    <w:p>
      <w:r>
        <w:rPr>
          <w:b/>
        </w:rPr>
        <w:t>Effort</w:t>
      </w:r>
      <w:r>
        <w:t xml:space="preserve"> — </w:t>
      </w:r>
      <w:r>
        <w:rPr>
          <w:rFonts w:ascii="Consolas" w:hAnsi="Consolas"/>
          <w:color w:val="9C274E"/>
          <w:sz w:val="20"/>
        </w:rPr>
        <w:t>S</w:t>
      </w:r>
      <w:r>
        <w:t xml:space="preserve"> under a week · </w:t>
      </w:r>
      <w:r>
        <w:rPr>
          <w:rFonts w:ascii="Consolas" w:hAnsi="Consolas"/>
          <w:color w:val="9C274E"/>
          <w:sz w:val="20"/>
        </w:rPr>
        <w:t>M</w:t>
      </w:r>
      <w:r>
        <w:t xml:space="preserve"> one to four weeks · </w:t>
      </w:r>
      <w:r>
        <w:rPr>
          <w:rFonts w:ascii="Consolas" w:hAnsi="Consolas"/>
          <w:color w:val="9C274E"/>
          <w:sz w:val="20"/>
        </w:rPr>
        <w:t>L</w:t>
      </w:r>
      <w:r>
        <w:t xml:space="preserve"> a quarter-scale workstream. These size the </w:t>
      </w:r>
      <w:r>
        <w:rPr>
          <w:i/>
        </w:rPr>
        <w:t>full</w:t>
      </w:r>
      <w:r>
        <w:t xml:space="preserve"> surface described in each row.</w:t>
      </w:r>
    </w:p>
    <w:p>
      <w:r>
        <w:rPr>
          <w:b/>
        </w:rPr>
        <w:t>Wk</w:t>
      </w:r>
      <w:r>
        <w:t xml:space="preserve"> — which week of the </w:t>
      </w:r>
      <w:hyperlink r:id="rId12">
        <w:r>
          <w:rPr>
            <w:color w:val="2F5496"/>
            <w:u w:val="single"/>
          </w:rPr>
          <w:t>three-week plan</w:t>
        </w:r>
      </w:hyperlink>
      <w:r>
        <w:t xml:space="preserve"> the gap lands in. </w:t>
      </w:r>
      <w:r>
        <w:rPr>
          <w:rFonts w:ascii="Consolas" w:hAnsi="Consolas"/>
          <w:color w:val="9C274E"/>
          <w:sz w:val="20"/>
        </w:rPr>
        <w:t>—</w:t>
      </w:r>
      <w:r>
        <w:t xml:space="preserve"> means deferred, with the reason given in </w:t>
      </w:r>
      <w:hyperlink r:id="rId16">
        <w:r>
          <w:rPr>
            <w:color w:val="2F5496"/>
            <w:u w:val="single"/>
          </w:rPr>
          <w:t>7.4</w:t>
        </w:r>
      </w:hyperlink>
      <w:r>
        <w:t xml:space="preserve">. Rows marked </w:t>
      </w:r>
      <w:r>
        <w:rPr>
          <w:b/>
        </w:rPr>
        <w:t>v0</w:t>
      </w:r>
      <w:r>
        <w:t xml:space="preserve"> ship a deliberate first cut rather than the full surface, and the part left behind is named in </w:t>
      </w:r>
      <w:hyperlink r:id="rId17">
        <w:r>
          <w:rPr>
            <w:color w:val="2F5496"/>
            <w:u w:val="single"/>
          </w:rPr>
          <w:t>7.3</w:t>
        </w:r>
      </w:hyperlink>
      <w:r>
        <w:t>.</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1624"/>
        <w:gridCol w:w="1624"/>
        <w:gridCol w:w="1624"/>
        <w:gridCol w:w="1624"/>
        <w:gridCol w:w="1624"/>
        <w:gridCol w:w="1624"/>
      </w:tblGrid>
      <w:tr>
        <w:trPr>
          <w:tblHeader w:val="true"/>
        </w:trPr>
        <w:tc>
          <w:tcPr>
            <w:tcW w:type="dxa" w:w="1624"/>
            <w:shd w:val="clear" w:color="auto" w:fill="1F3864"/>
          </w:tcPr>
          <w:p>
            <w:pPr>
              <w:spacing w:after="40" w:before="40"/>
              <w:jc w:val="left"/>
            </w:pPr>
            <w:r>
              <w:rPr>
                <w:b/>
                <w:color w:val="FFFFFF"/>
                <w:sz w:val="19"/>
              </w:rPr>
              <w:t>Priority</w:t>
            </w:r>
          </w:p>
        </w:tc>
        <w:tc>
          <w:tcPr>
            <w:tcW w:type="dxa" w:w="1624"/>
            <w:shd w:val="clear" w:color="auto" w:fill="1F3864"/>
          </w:tcPr>
          <w:p>
            <w:pPr>
              <w:spacing w:after="40" w:before="40"/>
              <w:jc w:val="right"/>
            </w:pPr>
            <w:r>
              <w:rPr>
                <w:b/>
                <w:color w:val="FFFFFF"/>
                <w:sz w:val="19"/>
              </w:rPr>
              <w:t>Gaps</w:t>
            </w:r>
          </w:p>
        </w:tc>
        <w:tc>
          <w:tcPr>
            <w:tcW w:type="dxa" w:w="1624"/>
            <w:shd w:val="clear" w:color="auto" w:fill="1F3864"/>
          </w:tcPr>
          <w:p>
            <w:pPr>
              <w:spacing w:after="40" w:before="40"/>
              <w:jc w:val="right"/>
            </w:pPr>
            <w:r>
              <w:rPr>
                <w:b/>
                <w:color w:val="FFFFFF"/>
                <w:sz w:val="19"/>
              </w:rPr>
              <w:t>S</w:t>
            </w:r>
          </w:p>
        </w:tc>
        <w:tc>
          <w:tcPr>
            <w:tcW w:type="dxa" w:w="1624"/>
            <w:shd w:val="clear" w:color="auto" w:fill="1F3864"/>
          </w:tcPr>
          <w:p>
            <w:pPr>
              <w:spacing w:after="40" w:before="40"/>
              <w:jc w:val="right"/>
            </w:pPr>
            <w:r>
              <w:rPr>
                <w:b/>
                <w:color w:val="FFFFFF"/>
                <w:sz w:val="19"/>
              </w:rPr>
              <w:t>M</w:t>
            </w:r>
          </w:p>
        </w:tc>
        <w:tc>
          <w:tcPr>
            <w:tcW w:type="dxa" w:w="1624"/>
            <w:shd w:val="clear" w:color="auto" w:fill="1F3864"/>
          </w:tcPr>
          <w:p>
            <w:pPr>
              <w:spacing w:after="40" w:before="40"/>
              <w:jc w:val="right"/>
            </w:pPr>
            <w:r>
              <w:rPr>
                <w:b/>
                <w:color w:val="FFFFFF"/>
                <w:sz w:val="19"/>
              </w:rPr>
              <w:t>L</w:t>
            </w:r>
          </w:p>
        </w:tc>
        <w:tc>
          <w:tcPr>
            <w:tcW w:type="dxa" w:w="1624"/>
            <w:shd w:val="clear" w:color="auto" w:fill="1F3864"/>
          </w:tcPr>
          <w:p>
            <w:pPr>
              <w:spacing w:after="40" w:before="40"/>
              <w:jc w:val="right"/>
            </w:pPr>
            <w:r>
              <w:rPr>
                <w:b/>
                <w:color w:val="FFFFFF"/>
                <w:sz w:val="19"/>
              </w:rPr>
              <w:t>In sprint</w:t>
            </w:r>
          </w:p>
        </w:tc>
      </w:tr>
      <w:tr>
        <w:tc>
          <w:tcPr>
            <w:tcW w:type="dxa" w:w="1624"/>
          </w:tcPr>
          <w:p>
            <w:pPr>
              <w:spacing w:after="40" w:before="40"/>
              <w:jc w:val="left"/>
            </w:pPr>
            <w:r>
              <w:rPr>
                <w:sz w:val="19"/>
              </w:rPr>
              <w:t>P0</w:t>
            </w:r>
          </w:p>
        </w:tc>
        <w:tc>
          <w:tcPr>
            <w:tcW w:type="dxa" w:w="1624"/>
          </w:tcPr>
          <w:p>
            <w:pPr>
              <w:spacing w:after="40" w:before="40"/>
              <w:jc w:val="right"/>
            </w:pPr>
            <w:r>
              <w:rPr>
                <w:sz w:val="19"/>
              </w:rPr>
              <w:t>8</w:t>
            </w:r>
          </w:p>
        </w:tc>
        <w:tc>
          <w:tcPr>
            <w:tcW w:type="dxa" w:w="1624"/>
          </w:tcPr>
          <w:p>
            <w:pPr>
              <w:spacing w:after="40" w:before="40"/>
              <w:jc w:val="right"/>
            </w:pPr>
            <w:r>
              <w:rPr>
                <w:sz w:val="19"/>
              </w:rPr>
              <w:t>1</w:t>
            </w:r>
          </w:p>
        </w:tc>
        <w:tc>
          <w:tcPr>
            <w:tcW w:type="dxa" w:w="1624"/>
          </w:tcPr>
          <w:p>
            <w:pPr>
              <w:spacing w:after="40" w:before="40"/>
              <w:jc w:val="right"/>
            </w:pPr>
            <w:r>
              <w:rPr>
                <w:sz w:val="19"/>
              </w:rPr>
              <w:t>5</w:t>
            </w:r>
          </w:p>
        </w:tc>
        <w:tc>
          <w:tcPr>
            <w:tcW w:type="dxa" w:w="1624"/>
          </w:tcPr>
          <w:p>
            <w:pPr>
              <w:spacing w:after="40" w:before="40"/>
              <w:jc w:val="right"/>
            </w:pPr>
            <w:r>
              <w:rPr>
                <w:sz w:val="19"/>
              </w:rPr>
              <w:t>2</w:t>
            </w:r>
          </w:p>
        </w:tc>
        <w:tc>
          <w:tcPr>
            <w:tcW w:type="dxa" w:w="1624"/>
          </w:tcPr>
          <w:p>
            <w:pPr>
              <w:spacing w:after="40" w:before="40"/>
              <w:jc w:val="right"/>
            </w:pPr>
            <w:r>
              <w:rPr>
                <w:b/>
                <w:sz w:val="19"/>
              </w:rPr>
              <w:t>6</w:t>
            </w:r>
          </w:p>
        </w:tc>
      </w:tr>
      <w:tr>
        <w:tc>
          <w:tcPr>
            <w:tcW w:type="dxa" w:w="1624"/>
            <w:shd w:val="clear" w:color="auto" w:fill="F4F6F9"/>
          </w:tcPr>
          <w:p>
            <w:pPr>
              <w:spacing w:after="40" w:before="40"/>
              <w:jc w:val="left"/>
            </w:pPr>
            <w:r>
              <w:rPr>
                <w:sz w:val="19"/>
              </w:rPr>
              <w:t>P1</w:t>
            </w:r>
          </w:p>
        </w:tc>
        <w:tc>
          <w:tcPr>
            <w:tcW w:type="dxa" w:w="1624"/>
            <w:shd w:val="clear" w:color="auto" w:fill="F4F6F9"/>
          </w:tcPr>
          <w:p>
            <w:pPr>
              <w:spacing w:after="40" w:before="40"/>
              <w:jc w:val="right"/>
            </w:pPr>
            <w:r>
              <w:rPr>
                <w:sz w:val="19"/>
              </w:rPr>
              <w:t>18</w:t>
            </w:r>
          </w:p>
        </w:tc>
        <w:tc>
          <w:tcPr>
            <w:tcW w:type="dxa" w:w="1624"/>
            <w:shd w:val="clear" w:color="auto" w:fill="F4F6F9"/>
          </w:tcPr>
          <w:p>
            <w:pPr>
              <w:spacing w:after="40" w:before="40"/>
              <w:jc w:val="right"/>
            </w:pPr>
            <w:r>
              <w:rPr>
                <w:sz w:val="19"/>
              </w:rPr>
              <w:t>0</w:t>
            </w:r>
          </w:p>
        </w:tc>
        <w:tc>
          <w:tcPr>
            <w:tcW w:type="dxa" w:w="1624"/>
            <w:shd w:val="clear" w:color="auto" w:fill="F4F6F9"/>
          </w:tcPr>
          <w:p>
            <w:pPr>
              <w:spacing w:after="40" w:before="40"/>
              <w:jc w:val="right"/>
            </w:pPr>
            <w:r>
              <w:rPr>
                <w:sz w:val="19"/>
              </w:rPr>
              <w:t>13</w:t>
            </w:r>
          </w:p>
        </w:tc>
        <w:tc>
          <w:tcPr>
            <w:tcW w:type="dxa" w:w="1624"/>
            <w:shd w:val="clear" w:color="auto" w:fill="F4F6F9"/>
          </w:tcPr>
          <w:p>
            <w:pPr>
              <w:spacing w:after="40" w:before="40"/>
              <w:jc w:val="right"/>
            </w:pPr>
            <w:r>
              <w:rPr>
                <w:sz w:val="19"/>
              </w:rPr>
              <w:t>5</w:t>
            </w:r>
          </w:p>
        </w:tc>
        <w:tc>
          <w:tcPr>
            <w:tcW w:type="dxa" w:w="1624"/>
            <w:shd w:val="clear" w:color="auto" w:fill="F4F6F9"/>
          </w:tcPr>
          <w:p>
            <w:pPr>
              <w:spacing w:after="40" w:before="40"/>
              <w:jc w:val="right"/>
            </w:pPr>
            <w:r>
              <w:rPr>
                <w:b/>
                <w:sz w:val="19"/>
              </w:rPr>
              <w:t>6</w:t>
            </w:r>
          </w:p>
        </w:tc>
      </w:tr>
      <w:tr>
        <w:tc>
          <w:tcPr>
            <w:tcW w:type="dxa" w:w="1624"/>
          </w:tcPr>
          <w:p>
            <w:pPr>
              <w:spacing w:after="40" w:before="40"/>
              <w:jc w:val="left"/>
            </w:pPr>
            <w:r>
              <w:rPr>
                <w:sz w:val="19"/>
              </w:rPr>
              <w:t>P2</w:t>
            </w:r>
          </w:p>
        </w:tc>
        <w:tc>
          <w:tcPr>
            <w:tcW w:type="dxa" w:w="1624"/>
          </w:tcPr>
          <w:p>
            <w:pPr>
              <w:spacing w:after="40" w:before="40"/>
              <w:jc w:val="right"/>
            </w:pPr>
            <w:r>
              <w:rPr>
                <w:sz w:val="19"/>
              </w:rPr>
              <w:t>4</w:t>
            </w:r>
          </w:p>
        </w:tc>
        <w:tc>
          <w:tcPr>
            <w:tcW w:type="dxa" w:w="1624"/>
          </w:tcPr>
          <w:p>
            <w:pPr>
              <w:spacing w:after="40" w:before="40"/>
              <w:jc w:val="right"/>
            </w:pPr>
            <w:r>
              <w:rPr>
                <w:sz w:val="19"/>
              </w:rPr>
              <w:t>1</w:t>
            </w:r>
          </w:p>
        </w:tc>
        <w:tc>
          <w:tcPr>
            <w:tcW w:type="dxa" w:w="1624"/>
          </w:tcPr>
          <w:p>
            <w:pPr>
              <w:spacing w:after="40" w:before="40"/>
              <w:jc w:val="right"/>
            </w:pPr>
            <w:r>
              <w:rPr>
                <w:sz w:val="19"/>
              </w:rPr>
              <w:t>2</w:t>
            </w:r>
          </w:p>
        </w:tc>
        <w:tc>
          <w:tcPr>
            <w:tcW w:type="dxa" w:w="1624"/>
          </w:tcPr>
          <w:p>
            <w:pPr>
              <w:spacing w:after="40" w:before="40"/>
              <w:jc w:val="right"/>
            </w:pPr>
            <w:r>
              <w:rPr>
                <w:sz w:val="19"/>
              </w:rPr>
              <w:t>1</w:t>
            </w:r>
          </w:p>
        </w:tc>
        <w:tc>
          <w:tcPr>
            <w:tcW w:type="dxa" w:w="1624"/>
          </w:tcPr>
          <w:p>
            <w:pPr>
              <w:spacing w:after="40" w:before="40"/>
              <w:jc w:val="right"/>
            </w:pPr>
            <w:r>
              <w:rPr>
                <w:b/>
                <w:sz w:val="19"/>
              </w:rPr>
              <w:t>1</w:t>
            </w:r>
          </w:p>
        </w:tc>
      </w:tr>
      <w:tr>
        <w:tc>
          <w:tcPr>
            <w:tcW w:type="dxa" w:w="1624"/>
            <w:shd w:val="clear" w:color="auto" w:fill="F4F6F9"/>
          </w:tcPr>
          <w:p>
            <w:pPr>
              <w:spacing w:after="40" w:before="40"/>
              <w:jc w:val="left"/>
            </w:pPr>
            <w:r>
              <w:rPr>
                <w:b/>
                <w:sz w:val="19"/>
              </w:rPr>
              <w:t>Total</w:t>
            </w:r>
          </w:p>
        </w:tc>
        <w:tc>
          <w:tcPr>
            <w:tcW w:type="dxa" w:w="1624"/>
            <w:shd w:val="clear" w:color="auto" w:fill="F4F6F9"/>
          </w:tcPr>
          <w:p>
            <w:pPr>
              <w:spacing w:after="40" w:before="40"/>
              <w:jc w:val="right"/>
            </w:pPr>
            <w:r>
              <w:rPr>
                <w:b/>
                <w:sz w:val="19"/>
              </w:rPr>
              <w:t>30</w:t>
            </w:r>
          </w:p>
        </w:tc>
        <w:tc>
          <w:tcPr>
            <w:tcW w:type="dxa" w:w="1624"/>
            <w:shd w:val="clear" w:color="auto" w:fill="F4F6F9"/>
          </w:tcPr>
          <w:p>
            <w:pPr>
              <w:spacing w:after="40" w:before="40"/>
              <w:jc w:val="right"/>
            </w:pPr>
            <w:r>
              <w:rPr>
                <w:b/>
                <w:sz w:val="19"/>
              </w:rPr>
              <w:t>2</w:t>
            </w:r>
          </w:p>
        </w:tc>
        <w:tc>
          <w:tcPr>
            <w:tcW w:type="dxa" w:w="1624"/>
            <w:shd w:val="clear" w:color="auto" w:fill="F4F6F9"/>
          </w:tcPr>
          <w:p>
            <w:pPr>
              <w:spacing w:after="40" w:before="40"/>
              <w:jc w:val="right"/>
            </w:pPr>
            <w:r>
              <w:rPr>
                <w:b/>
                <w:sz w:val="19"/>
              </w:rPr>
              <w:t>20</w:t>
            </w:r>
          </w:p>
        </w:tc>
        <w:tc>
          <w:tcPr>
            <w:tcW w:type="dxa" w:w="1624"/>
            <w:shd w:val="clear" w:color="auto" w:fill="F4F6F9"/>
          </w:tcPr>
          <w:p>
            <w:pPr>
              <w:spacing w:after="40" w:before="40"/>
              <w:jc w:val="right"/>
            </w:pPr>
            <w:r>
              <w:rPr>
                <w:b/>
                <w:sz w:val="19"/>
              </w:rPr>
              <w:t>8</w:t>
            </w:r>
          </w:p>
        </w:tc>
        <w:tc>
          <w:tcPr>
            <w:tcW w:type="dxa" w:w="1624"/>
            <w:shd w:val="clear" w:color="auto" w:fill="F4F6F9"/>
          </w:tcPr>
          <w:p>
            <w:pPr>
              <w:spacing w:after="40" w:before="40"/>
              <w:jc w:val="right"/>
            </w:pPr>
            <w:r>
              <w:rPr>
                <w:b/>
                <w:sz w:val="19"/>
              </w:rPr>
              <w:t>13</w:t>
            </w:r>
          </w:p>
        </w:tc>
      </w:tr>
    </w:tbl>
    <w:p>
      <w:pPr>
        <w:spacing w:after="80"/>
      </w:pPr>
    </w:p>
    <w:p>
      <w:r>
        <w:t xml:space="preserve">Note the shape of that last column: the sprint closes </w:t>
      </w:r>
      <w:r>
        <w:rPr>
          <w:b/>
        </w:rPr>
        <w:t>three quarters of P0</w:t>
      </w:r>
      <w:r>
        <w:t xml:space="preserve"> but only a third of P1. That is the correct bias. P0 gaps block an agent from functioning at all, while P1 gaps are things a competitor can point at in a bake-off — painful, but survivable for a quarter.</w:t>
      </w:r>
    </w:p>
    <w:p>
      <w:pPr>
        <w:pStyle w:val="Heading3"/>
      </w:pPr>
      <w:r>
        <w:t>4.1 P0 — blocks agent usefulness</w:t>
      </w:r>
    </w:p>
    <w:tbl>
      <w:tblPr>
        <w:tblStyle w:val="TableGrid"/>
        <w:tblW w:type="auto" w:w="0"/>
        <w:jc w:val="center"/>
        <w:tblLayout w:type="autofit"/>
        <w:tblLook w:firstColumn="1" w:firstRow="1" w:lastColumn="0" w:lastRow="0" w:noHBand="0" w:noVBand="1" w:val="04A0"/>
        <w:tblCellMar>
          <w:top w:w="60" w:type="dxa"/>
          <w:bottom w:w="60" w:type="dxa"/>
          <w:left w:w="70" w:type="dxa"/>
          <w:right w:w="70" w:type="dxa"/>
        </w:tblCellMar>
      </w:tblPr>
      <w:tblGrid>
        <w:gridCol w:w="1392"/>
        <w:gridCol w:w="1392"/>
        <w:gridCol w:w="1392"/>
        <w:gridCol w:w="1392"/>
        <w:gridCol w:w="1392"/>
        <w:gridCol w:w="1392"/>
        <w:gridCol w:w="1392"/>
      </w:tblGrid>
      <w:tr>
        <w:trPr>
          <w:tblHeader w:val="true"/>
        </w:trPr>
        <w:tc>
          <w:tcPr>
            <w:tcW w:type="dxa" w:w="1392"/>
            <w:shd w:val="clear" w:color="auto" w:fill="1F3864"/>
          </w:tcPr>
          <w:p>
            <w:pPr>
              <w:spacing w:after="40" w:before="40"/>
              <w:jc w:val="left"/>
            </w:pPr>
            <w:r>
              <w:rPr>
                <w:b/>
                <w:color w:val="FFFFFF"/>
                <w:sz w:val="17"/>
              </w:rPr>
              <w:t>ID</w:t>
            </w:r>
          </w:p>
        </w:tc>
        <w:tc>
          <w:tcPr>
            <w:tcW w:type="dxa" w:w="1392"/>
            <w:shd w:val="clear" w:color="auto" w:fill="1F3864"/>
          </w:tcPr>
          <w:p>
            <w:pPr>
              <w:spacing w:after="40" w:before="40"/>
              <w:jc w:val="left"/>
            </w:pPr>
            <w:r>
              <w:rPr>
                <w:b/>
                <w:color w:val="FFFFFF"/>
                <w:sz w:val="17"/>
              </w:rPr>
              <w:t>Gap</w:t>
            </w:r>
          </w:p>
        </w:tc>
        <w:tc>
          <w:tcPr>
            <w:tcW w:type="dxa" w:w="1392"/>
            <w:shd w:val="clear" w:color="auto" w:fill="1F3864"/>
          </w:tcPr>
          <w:p>
            <w:pPr>
              <w:spacing w:after="40" w:before="40"/>
              <w:jc w:val="left"/>
            </w:pPr>
            <w:r>
              <w:rPr>
                <w:b/>
                <w:color w:val="FFFFFF"/>
                <w:sz w:val="17"/>
              </w:rPr>
              <w:t>Evidence</w:t>
            </w:r>
          </w:p>
        </w:tc>
        <w:tc>
          <w:tcPr>
            <w:tcW w:type="dxa" w:w="1392"/>
            <w:shd w:val="clear" w:color="auto" w:fill="1F3864"/>
          </w:tcPr>
          <w:p>
            <w:pPr>
              <w:spacing w:after="40" w:before="40"/>
              <w:jc w:val="center"/>
            </w:pPr>
            <w:r>
              <w:rPr>
                <w:b/>
                <w:color w:val="FFFFFF"/>
                <w:sz w:val="17"/>
              </w:rPr>
              <w:t>Effort</w:t>
            </w:r>
          </w:p>
        </w:tc>
        <w:tc>
          <w:tcPr>
            <w:tcW w:type="dxa" w:w="1392"/>
            <w:shd w:val="clear" w:color="auto" w:fill="1F3864"/>
          </w:tcPr>
          <w:p>
            <w:pPr>
              <w:spacing w:after="40" w:before="40"/>
              <w:jc w:val="center"/>
            </w:pPr>
            <w:r>
              <w:rPr>
                <w:b/>
                <w:color w:val="FFFFFF"/>
                <w:sz w:val="17"/>
              </w:rPr>
              <w:t>Wk</w:t>
            </w:r>
          </w:p>
        </w:tc>
        <w:tc>
          <w:tcPr>
            <w:tcW w:type="dxa" w:w="1392"/>
            <w:shd w:val="clear" w:color="auto" w:fill="1F3864"/>
          </w:tcPr>
          <w:p>
            <w:pPr>
              <w:spacing w:after="40" w:before="40"/>
              <w:jc w:val="left"/>
            </w:pPr>
            <w:r>
              <w:rPr>
                <w:b/>
                <w:color w:val="FFFFFF"/>
                <w:sz w:val="17"/>
              </w:rPr>
              <w:t>Proposed surface</w:t>
            </w:r>
          </w:p>
        </w:tc>
        <w:tc>
          <w:tcPr>
            <w:tcW w:type="dxa" w:w="1392"/>
            <w:shd w:val="clear" w:color="auto" w:fill="1F3864"/>
          </w:tcPr>
          <w:p>
            <w:pPr>
              <w:spacing w:after="40" w:before="40"/>
              <w:jc w:val="left"/>
            </w:pPr>
            <w:r>
              <w:rPr>
                <w:b/>
                <w:color w:val="FFFFFF"/>
                <w:sz w:val="17"/>
              </w:rPr>
              <w:t>Who ships it</w:t>
            </w:r>
          </w:p>
        </w:tc>
      </w:tr>
      <w:tr>
        <w:tc>
          <w:tcPr>
            <w:tcW w:type="dxa" w:w="1392"/>
          </w:tcPr>
          <w:p>
            <w:pPr>
              <w:spacing w:after="40" w:before="40"/>
              <w:jc w:val="left"/>
            </w:pPr>
            <w:r>
              <w:rPr>
                <w:sz w:val="17"/>
              </w:rPr>
              <w:t>P0-1</w:t>
            </w:r>
          </w:p>
        </w:tc>
        <w:tc>
          <w:tcPr>
            <w:tcW w:type="dxa" w:w="1392"/>
          </w:tcPr>
          <w:p>
            <w:pPr>
              <w:spacing w:after="40" w:before="40"/>
              <w:jc w:val="left"/>
            </w:pPr>
            <w:r>
              <w:rPr>
                <w:sz w:val="17"/>
              </w:rPr>
              <w:t>No aggregate or group-by tool</w:t>
            </w:r>
          </w:p>
        </w:tc>
        <w:tc>
          <w:tcPr>
            <w:tcW w:type="dxa" w:w="1392"/>
          </w:tcPr>
          <w:p>
            <w:pPr>
              <w:spacing w:after="40" w:before="40"/>
              <w:jc w:val="left"/>
            </w:pPr>
            <w:r>
              <w:rPr>
                <w:rFonts w:ascii="Consolas" w:hAnsi="Consolas"/>
                <w:color w:val="9C274E"/>
                <w:sz w:val="16"/>
              </w:rPr>
              <w:t>SalesOrder.list</w:t>
            </w:r>
            <w:r>
              <w:rPr>
                <w:sz w:val="17"/>
              </w:rPr>
              <w:t xml:space="preserve"> returns </w:t>
            </w:r>
            <w:r>
              <w:rPr>
                <w:rFonts w:ascii="Consolas" w:hAnsi="Consolas"/>
                <w:color w:val="9C274E"/>
                <w:sz w:val="16"/>
              </w:rPr>
              <w:t>total</w:t>
            </w:r>
            <w:r>
              <w:rPr>
                <w:sz w:val="17"/>
              </w:rPr>
              <w:t xml:space="preserve"> 310 at </w:t>
            </w:r>
            <w:r>
              <w:rPr>
                <w:rFonts w:ascii="Consolas" w:hAnsi="Consolas"/>
                <w:color w:val="9C274E"/>
                <w:sz w:val="16"/>
              </w:rPr>
              <w:t>limit</w:t>
            </w:r>
            <w:r>
              <w:rPr>
                <w:sz w:val="17"/>
              </w:rPr>
              <w:t xml:space="preserve"> 20; totalling revenue costs 16 round trips</w:t>
            </w:r>
          </w:p>
        </w:tc>
        <w:tc>
          <w:tcPr>
            <w:tcW w:type="dxa" w:w="1392"/>
          </w:tcPr>
          <w:p>
            <w:pPr>
              <w:spacing w:after="40" w:before="40"/>
              <w:jc w:val="center"/>
            </w:pPr>
            <w:r>
              <w:rPr>
                <w:sz w:val="17"/>
              </w:rPr>
              <w:t>M</w:t>
            </w:r>
          </w:p>
        </w:tc>
        <w:tc>
          <w:tcPr>
            <w:tcW w:type="dxa" w:w="1392"/>
          </w:tcPr>
          <w:p>
            <w:pPr>
              <w:spacing w:after="40" w:before="40"/>
              <w:jc w:val="center"/>
            </w:pPr>
            <w:r>
              <w:rPr>
                <w:b/>
                <w:sz w:val="17"/>
              </w:rPr>
              <w:t>1</w:t>
            </w:r>
          </w:p>
        </w:tc>
        <w:tc>
          <w:tcPr>
            <w:tcW w:type="dxa" w:w="1392"/>
          </w:tcPr>
          <w:p>
            <w:pPr>
              <w:spacing w:after="40" w:before="40"/>
              <w:jc w:val="left"/>
            </w:pPr>
            <w:r>
              <w:rPr>
                <w:rFonts w:ascii="Consolas" w:hAnsi="Consolas"/>
                <w:color w:val="9C274E"/>
                <w:sz w:val="16"/>
              </w:rPr>
              <w:t>{Entity}.aggregate(group_by, metrics, filters)</w:t>
            </w:r>
            <w:r>
              <w:rPr>
                <w:sz w:val="17"/>
              </w:rPr>
              <w:t xml:space="preserve"> plus a read-only query view</w:t>
            </w:r>
          </w:p>
        </w:tc>
        <w:tc>
          <w:tcPr>
            <w:tcW w:type="dxa" w:w="1392"/>
          </w:tcPr>
          <w:p>
            <w:pPr>
              <w:spacing w:after="40" w:before="40"/>
              <w:jc w:val="left"/>
            </w:pPr>
            <w:r>
              <w:rPr>
                <w:sz w:val="17"/>
              </w:rPr>
              <w:t>Zoho reports, Agentforce + Data Cloud</w:t>
            </w:r>
          </w:p>
        </w:tc>
      </w:tr>
      <w:tr>
        <w:tc>
          <w:tcPr>
            <w:tcW w:type="dxa" w:w="1392"/>
            <w:shd w:val="clear" w:color="auto" w:fill="F4F6F9"/>
          </w:tcPr>
          <w:p>
            <w:pPr>
              <w:spacing w:after="40" w:before="40"/>
              <w:jc w:val="left"/>
            </w:pPr>
            <w:r>
              <w:rPr>
                <w:sz w:val="17"/>
              </w:rPr>
              <w:t>P0-2</w:t>
            </w:r>
          </w:p>
        </w:tc>
        <w:tc>
          <w:tcPr>
            <w:tcW w:type="dxa" w:w="1392"/>
            <w:shd w:val="clear" w:color="auto" w:fill="F4F6F9"/>
          </w:tcPr>
          <w:p>
            <w:pPr>
              <w:spacing w:after="40" w:before="40"/>
              <w:jc w:val="left"/>
            </w:pPr>
            <w:r>
              <w:rPr>
                <w:sz w:val="17"/>
              </w:rPr>
              <w:t>No cross-entity search</w:t>
            </w:r>
          </w:p>
        </w:tc>
        <w:tc>
          <w:tcPr>
            <w:tcW w:type="dxa" w:w="1392"/>
            <w:shd w:val="clear" w:color="auto" w:fill="F4F6F9"/>
          </w:tcPr>
          <w:p>
            <w:pPr>
              <w:spacing w:after="40" w:before="40"/>
              <w:jc w:val="left"/>
            </w:pPr>
            <w:r>
              <w:rPr>
                <w:sz w:val="17"/>
              </w:rPr>
              <w:t xml:space="preserve">Each </w:t>
            </w:r>
            <w:r>
              <w:rPr>
                <w:rFonts w:ascii="Consolas" w:hAnsi="Consolas"/>
                <w:color w:val="9C274E"/>
                <w:sz w:val="16"/>
              </w:rPr>
              <w:t>.list</w:t>
            </w:r>
            <w:r>
              <w:rPr>
                <w:sz w:val="17"/>
              </w:rPr>
              <w:t xml:space="preserve"> takes a local </w:t>
            </w:r>
            <w:r>
              <w:rPr>
                <w:rFonts w:ascii="Consolas" w:hAnsi="Consolas"/>
                <w:color w:val="9C274E"/>
                <w:sz w:val="16"/>
              </w:rPr>
              <w:t>search</w:t>
            </w:r>
            <w:r>
              <w:rPr>
                <w:sz w:val="17"/>
              </w:rPr>
              <w:t xml:space="preserve"> string; nothing spans Lead, Deal, Party, Note, Activity</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b/>
                <w:sz w:val="17"/>
              </w:rPr>
              <w:t>2</w:t>
            </w:r>
          </w:p>
        </w:tc>
        <w:tc>
          <w:tcPr>
            <w:tcW w:type="dxa" w:w="1392"/>
            <w:shd w:val="clear" w:color="auto" w:fill="F4F6F9"/>
          </w:tcPr>
          <w:p>
            <w:pPr>
              <w:spacing w:after="40" w:before="40"/>
              <w:jc w:val="left"/>
            </w:pPr>
            <w:r>
              <w:rPr>
                <w:rFonts w:ascii="Consolas" w:hAnsi="Consolas"/>
                <w:color w:val="9C274E"/>
                <w:sz w:val="16"/>
              </w:rPr>
              <w:t>search.global(query, entities[], limit)</w:t>
            </w:r>
          </w:p>
        </w:tc>
        <w:tc>
          <w:tcPr>
            <w:tcW w:type="dxa" w:w="1392"/>
            <w:shd w:val="clear" w:color="auto" w:fill="F4F6F9"/>
          </w:tcPr>
          <w:p>
            <w:pPr>
              <w:spacing w:after="40" w:before="40"/>
              <w:jc w:val="left"/>
            </w:pPr>
            <w:r>
              <w:rPr>
                <w:sz w:val="17"/>
              </w:rPr>
              <w:t>Attio MCP, Day.ai</w:t>
            </w:r>
          </w:p>
        </w:tc>
      </w:tr>
      <w:tr>
        <w:tc>
          <w:tcPr>
            <w:tcW w:type="dxa" w:w="1392"/>
          </w:tcPr>
          <w:p>
            <w:pPr>
              <w:spacing w:after="40" w:before="40"/>
              <w:jc w:val="left"/>
            </w:pPr>
            <w:r>
              <w:rPr>
                <w:sz w:val="17"/>
              </w:rPr>
              <w:t>P0-3</w:t>
            </w:r>
          </w:p>
        </w:tc>
        <w:tc>
          <w:tcPr>
            <w:tcW w:type="dxa" w:w="1392"/>
          </w:tcPr>
          <w:p>
            <w:pPr>
              <w:spacing w:after="40" w:before="40"/>
              <w:jc w:val="left"/>
            </w:pPr>
            <w:r>
              <w:rPr>
                <w:sz w:val="17"/>
              </w:rPr>
              <w:t>All 247 schemas load upfront</w:t>
            </w:r>
          </w:p>
        </w:tc>
        <w:tc>
          <w:tcPr>
            <w:tcW w:type="dxa" w:w="1392"/>
          </w:tcPr>
          <w:p>
            <w:pPr>
              <w:spacing w:after="40" w:before="40"/>
              <w:jc w:val="left"/>
            </w:pPr>
            <w:r>
              <w:rPr>
                <w:rFonts w:ascii="Consolas" w:hAnsi="Consolas"/>
                <w:color w:val="9C274E"/>
                <w:sz w:val="16"/>
              </w:rPr>
              <w:t>initialize</w:t>
            </w:r>
            <w:r>
              <w:rPr>
                <w:sz w:val="17"/>
              </w:rPr>
              <w:t xml:space="preserve"> advertises only </w:t>
            </w:r>
            <w:r>
              <w:rPr>
                <w:rFonts w:ascii="Consolas" w:hAnsi="Consolas"/>
                <w:color w:val="9C274E"/>
                <w:sz w:val="16"/>
              </w:rPr>
              <w:t>tools</w:t>
            </w:r>
            <w:r>
              <w:rPr>
                <w:sz w:val="17"/>
              </w:rPr>
              <w:t xml:space="preserve"> with </w:t>
            </w:r>
            <w:r>
              <w:rPr>
                <w:rFonts w:ascii="Consolas" w:hAnsi="Consolas"/>
                <w:color w:val="9C274E"/>
                <w:sz w:val="16"/>
              </w:rPr>
              <w:t>listChanged: false</w:t>
            </w:r>
            <w:r>
              <w:rPr>
                <w:sz w:val="17"/>
              </w:rPr>
              <w:t xml:space="preserve"> — no catalog, describe or tool search</w:t>
            </w:r>
          </w:p>
        </w:tc>
        <w:tc>
          <w:tcPr>
            <w:tcW w:type="dxa" w:w="1392"/>
          </w:tcPr>
          <w:p>
            <w:pPr>
              <w:spacing w:after="40" w:before="40"/>
              <w:jc w:val="center"/>
            </w:pPr>
            <w:r>
              <w:rPr>
                <w:sz w:val="17"/>
              </w:rPr>
              <w:t>M</w:t>
            </w:r>
          </w:p>
        </w:tc>
        <w:tc>
          <w:tcPr>
            <w:tcW w:type="dxa" w:w="1392"/>
          </w:tcPr>
          <w:p>
            <w:pPr>
              <w:spacing w:after="40" w:before="40"/>
              <w:jc w:val="center"/>
            </w:pPr>
            <w:r>
              <w:rPr>
                <w:b/>
                <w:sz w:val="17"/>
              </w:rPr>
              <w:t>3</w:t>
            </w:r>
          </w:p>
        </w:tc>
        <w:tc>
          <w:tcPr>
            <w:tcW w:type="dxa" w:w="1392"/>
          </w:tcPr>
          <w:p>
            <w:pPr>
              <w:spacing w:after="40" w:before="40"/>
              <w:jc w:val="left"/>
            </w:pPr>
            <w:r>
              <w:rPr>
                <w:rFonts w:ascii="Consolas" w:hAnsi="Consolas"/>
                <w:color w:val="9C274E"/>
                <w:sz w:val="16"/>
              </w:rPr>
              <w:t>tools/catalog</w:t>
            </w:r>
            <w:r>
              <w:rPr>
                <w:sz w:val="17"/>
              </w:rPr>
              <w:t xml:space="preserve"> + </w:t>
            </w:r>
            <w:r>
              <w:rPr>
                <w:rFonts w:ascii="Consolas" w:hAnsi="Consolas"/>
                <w:color w:val="9C274E"/>
                <w:sz w:val="16"/>
              </w:rPr>
              <w:t>tools/describe</w:t>
            </w:r>
            <w:r>
              <w:rPr>
                <w:sz w:val="17"/>
              </w:rPr>
              <w:t xml:space="preserve"> per SEP-2636, plus </w:t>
            </w:r>
            <w:r>
              <w:rPr>
                <w:rFonts w:ascii="Consolas" w:hAnsi="Consolas"/>
                <w:color w:val="9C274E"/>
                <w:sz w:val="16"/>
              </w:rPr>
              <w:t>search_tools</w:t>
            </w:r>
          </w:p>
        </w:tc>
        <w:tc>
          <w:tcPr>
            <w:tcW w:type="dxa" w:w="1392"/>
          </w:tcPr>
          <w:p>
            <w:pPr>
              <w:spacing w:after="40" w:before="40"/>
              <w:jc w:val="left"/>
            </w:pPr>
            <w:r>
              <w:rPr>
                <w:sz w:val="17"/>
              </w:rPr>
              <w:t>MCP 2026-07-28 guidance, Bedrock AgentCore</w:t>
            </w:r>
          </w:p>
        </w:tc>
      </w:tr>
      <w:tr>
        <w:tc>
          <w:tcPr>
            <w:tcW w:type="dxa" w:w="1392"/>
            <w:shd w:val="clear" w:color="auto" w:fill="F4F6F9"/>
          </w:tcPr>
          <w:p>
            <w:pPr>
              <w:spacing w:after="40" w:before="40"/>
              <w:jc w:val="left"/>
            </w:pPr>
            <w:r>
              <w:rPr>
                <w:sz w:val="17"/>
              </w:rPr>
              <w:t>P0-4</w:t>
            </w:r>
          </w:p>
        </w:tc>
        <w:tc>
          <w:tcPr>
            <w:tcW w:type="dxa" w:w="1392"/>
            <w:shd w:val="clear" w:color="auto" w:fill="F4F6F9"/>
          </w:tcPr>
          <w:p>
            <w:pPr>
              <w:spacing w:after="40" w:before="40"/>
              <w:jc w:val="left"/>
            </w:pPr>
            <w:r>
              <w:rPr>
                <w:sz w:val="17"/>
              </w:rPr>
              <w:t>Errors do not name the missing field</w:t>
            </w:r>
          </w:p>
        </w:tc>
        <w:tc>
          <w:tcPr>
            <w:tcW w:type="dxa" w:w="1392"/>
            <w:shd w:val="clear" w:color="auto" w:fill="F4F6F9"/>
          </w:tcPr>
          <w:p>
            <w:pPr>
              <w:spacing w:after="40" w:before="40"/>
              <w:jc w:val="left"/>
            </w:pPr>
            <w:r>
              <w:rPr>
                <w:rFonts w:ascii="Consolas" w:hAnsi="Consolas"/>
                <w:color w:val="9C274E"/>
                <w:sz w:val="16"/>
              </w:rPr>
              <w:t>SalesOrder.get</w:t>
            </w:r>
            <w:r>
              <w:rPr>
                <w:sz w:val="17"/>
              </w:rPr>
              <w:t xml:space="preserve"> with </w:t>
            </w:r>
            <w:r>
              <w:rPr>
                <w:rFonts w:ascii="Consolas" w:hAnsi="Consolas"/>
                <w:color w:val="9C274E"/>
                <w:sz w:val="16"/>
              </w:rPr>
              <w:t>{}</w:t>
            </w:r>
            <w:r>
              <w:rPr>
                <w:sz w:val="17"/>
              </w:rPr>
              <w:t xml:space="preserve"> returns </w:t>
            </w:r>
            <w:r>
              <w:rPr>
                <w:rFonts w:ascii="Consolas" w:hAnsi="Consolas"/>
                <w:color w:val="9C274E"/>
                <w:sz w:val="16"/>
              </w:rPr>
              <w:t>-32602</w:t>
            </w:r>
            <w:r>
              <w:rPr>
                <w:sz w:val="17"/>
              </w:rPr>
              <w:t xml:space="preserve"> and </w:t>
            </w:r>
            <w:r>
              <w:rPr>
                <w:rFonts w:ascii="Consolas" w:hAnsi="Consolas"/>
                <w:color w:val="9C274E"/>
                <w:sz w:val="16"/>
              </w:rPr>
              <w:t>errors: [{path: "/", keyword: "required"}]</w:t>
            </w:r>
          </w:p>
        </w:tc>
        <w:tc>
          <w:tcPr>
            <w:tcW w:type="dxa" w:w="1392"/>
            <w:shd w:val="clear" w:color="auto" w:fill="F4F6F9"/>
          </w:tcPr>
          <w:p>
            <w:pPr>
              <w:spacing w:after="40" w:before="40"/>
              <w:jc w:val="center"/>
            </w:pPr>
            <w:r>
              <w:rPr>
                <w:b/>
                <w:sz w:val="17"/>
              </w:rPr>
              <w:t>S</w:t>
            </w:r>
          </w:p>
        </w:tc>
        <w:tc>
          <w:tcPr>
            <w:tcW w:type="dxa" w:w="1392"/>
            <w:shd w:val="clear" w:color="auto" w:fill="F4F6F9"/>
          </w:tcPr>
          <w:p>
            <w:pPr>
              <w:spacing w:after="40" w:before="40"/>
              <w:jc w:val="center"/>
            </w:pPr>
            <w:r>
              <w:rPr>
                <w:b/>
                <w:sz w:val="17"/>
              </w:rPr>
              <w:t>1</w:t>
            </w:r>
          </w:p>
        </w:tc>
        <w:tc>
          <w:tcPr>
            <w:tcW w:type="dxa" w:w="1392"/>
            <w:shd w:val="clear" w:color="auto" w:fill="F4F6F9"/>
          </w:tcPr>
          <w:p>
            <w:pPr>
              <w:spacing w:after="40" w:before="40"/>
              <w:jc w:val="left"/>
            </w:pPr>
            <w:r>
              <w:rPr>
                <w:sz w:val="17"/>
              </w:rPr>
              <w:t xml:space="preserve">Structured errors carrying </w:t>
            </w:r>
            <w:r>
              <w:rPr>
                <w:rFonts w:ascii="Consolas" w:hAnsi="Consolas"/>
                <w:color w:val="9C274E"/>
                <w:sz w:val="16"/>
              </w:rPr>
              <w:t>missing[]</w:t>
            </w:r>
            <w:r>
              <w:rPr>
                <w:sz w:val="17"/>
              </w:rPr>
              <w:t xml:space="preserve"> and a human-readable message</w:t>
            </w:r>
          </w:p>
        </w:tc>
        <w:tc>
          <w:tcPr>
            <w:tcW w:type="dxa" w:w="1392"/>
            <w:shd w:val="clear" w:color="auto" w:fill="F4F6F9"/>
          </w:tcPr>
          <w:p>
            <w:pPr>
              <w:spacing w:after="40" w:before="40"/>
              <w:jc w:val="left"/>
            </w:pPr>
            <w:r>
              <w:rPr>
                <w:sz w:val="17"/>
              </w:rPr>
              <w:t>Baseline for agent-facing tools</w:t>
            </w:r>
          </w:p>
        </w:tc>
      </w:tr>
      <w:tr>
        <w:tc>
          <w:tcPr>
            <w:tcW w:type="dxa" w:w="1392"/>
          </w:tcPr>
          <w:p>
            <w:pPr>
              <w:spacing w:after="40" w:before="40"/>
              <w:jc w:val="left"/>
            </w:pPr>
            <w:r>
              <w:rPr>
                <w:sz w:val="17"/>
              </w:rPr>
              <w:t>P0-5</w:t>
            </w:r>
          </w:p>
        </w:tc>
        <w:tc>
          <w:tcPr>
            <w:tcW w:type="dxa" w:w="1392"/>
          </w:tcPr>
          <w:p>
            <w:pPr>
              <w:spacing w:after="40" w:before="40"/>
              <w:jc w:val="left"/>
            </w:pPr>
            <w:r>
              <w:rPr>
                <w:sz w:val="17"/>
              </w:rPr>
              <w:t>No bulk or batch writes</w:t>
            </w:r>
          </w:p>
        </w:tc>
        <w:tc>
          <w:tcPr>
            <w:tcW w:type="dxa" w:w="1392"/>
          </w:tcPr>
          <w:p>
            <w:pPr>
              <w:spacing w:after="40" w:before="40"/>
              <w:jc w:val="left"/>
            </w:pPr>
            <w:r>
              <w:rPr>
                <w:sz w:val="17"/>
              </w:rPr>
              <w:t>Every create and update is single-record; re-owning 300 leads means 300 calls</w:t>
            </w:r>
          </w:p>
        </w:tc>
        <w:tc>
          <w:tcPr>
            <w:tcW w:type="dxa" w:w="1392"/>
          </w:tcPr>
          <w:p>
            <w:pPr>
              <w:spacing w:after="40" w:before="40"/>
              <w:jc w:val="center"/>
            </w:pPr>
            <w:r>
              <w:rPr>
                <w:sz w:val="17"/>
              </w:rPr>
              <w:t>M</w:t>
            </w:r>
          </w:p>
        </w:tc>
        <w:tc>
          <w:tcPr>
            <w:tcW w:type="dxa" w:w="1392"/>
          </w:tcPr>
          <w:p>
            <w:pPr>
              <w:spacing w:after="40" w:before="40"/>
              <w:jc w:val="center"/>
            </w:pPr>
            <w:r>
              <w:rPr>
                <w:b/>
                <w:sz w:val="17"/>
              </w:rPr>
              <w:t>2</w:t>
            </w:r>
          </w:p>
        </w:tc>
        <w:tc>
          <w:tcPr>
            <w:tcW w:type="dxa" w:w="1392"/>
          </w:tcPr>
          <w:p>
            <w:pPr>
              <w:spacing w:after="40" w:before="40"/>
              <w:jc w:val="left"/>
            </w:pPr>
            <w:r>
              <w:rPr>
                <w:rFonts w:ascii="Consolas" w:hAnsi="Consolas"/>
                <w:color w:val="9C274E"/>
                <w:sz w:val="16"/>
              </w:rPr>
              <w:t>{Entity}.bulk_create</w:t>
            </w:r>
            <w:r>
              <w:rPr>
                <w:sz w:val="17"/>
              </w:rPr>
              <w:t xml:space="preserve"> / </w:t>
            </w:r>
            <w:r>
              <w:rPr>
                <w:rFonts w:ascii="Consolas" w:hAnsi="Consolas"/>
                <w:color w:val="9C274E"/>
                <w:sz w:val="16"/>
              </w:rPr>
              <w:t>bulk_update</w:t>
            </w:r>
            <w:r>
              <w:rPr>
                <w:sz w:val="17"/>
              </w:rPr>
              <w:t>, plus a batch envelope</w:t>
            </w:r>
          </w:p>
        </w:tc>
        <w:tc>
          <w:tcPr>
            <w:tcW w:type="dxa" w:w="1392"/>
          </w:tcPr>
          <w:p>
            <w:pPr>
              <w:spacing w:after="40" w:before="40"/>
              <w:jc w:val="left"/>
            </w:pPr>
            <w:r>
              <w:rPr>
                <w:sz w:val="17"/>
              </w:rPr>
              <w:t>Salesforce Bulk API, Zoho, HubSpot</w:t>
            </w:r>
          </w:p>
        </w:tc>
      </w:tr>
      <w:tr>
        <w:tc>
          <w:tcPr>
            <w:tcW w:type="dxa" w:w="1392"/>
            <w:shd w:val="clear" w:color="auto" w:fill="F4F6F9"/>
          </w:tcPr>
          <w:p>
            <w:pPr>
              <w:spacing w:after="40" w:before="40"/>
              <w:jc w:val="left"/>
            </w:pPr>
            <w:r>
              <w:rPr>
                <w:sz w:val="17"/>
              </w:rPr>
              <w:t>P0-6</w:t>
            </w:r>
          </w:p>
        </w:tc>
        <w:tc>
          <w:tcPr>
            <w:tcW w:type="dxa" w:w="1392"/>
            <w:shd w:val="clear" w:color="auto" w:fill="F4F6F9"/>
          </w:tcPr>
          <w:p>
            <w:pPr>
              <w:spacing w:after="40" w:before="40"/>
              <w:jc w:val="left"/>
            </w:pPr>
            <w:r>
              <w:rPr>
                <w:sz w:val="17"/>
              </w:rPr>
              <w:t>Revenue chain dead-ends at SalesOrder</w:t>
            </w:r>
          </w:p>
        </w:tc>
        <w:tc>
          <w:tcPr>
            <w:tcW w:type="dxa" w:w="1392"/>
            <w:shd w:val="clear" w:color="auto" w:fill="F4F6F9"/>
          </w:tcPr>
          <w:p>
            <w:pPr>
              <w:spacing w:after="40" w:before="40"/>
              <w:jc w:val="left"/>
            </w:pPr>
            <w:r>
              <w:rPr>
                <w:rFonts w:ascii="Consolas" w:hAnsi="Consolas"/>
                <w:color w:val="9C274E"/>
                <w:sz w:val="16"/>
              </w:rPr>
              <w:t>Quotation.make.SalesOrder</w:t>
            </w:r>
            <w:r>
              <w:rPr>
                <w:sz w:val="17"/>
              </w:rPr>
              <w:t xml:space="preserve"> exists, but every order reads </w:t>
            </w:r>
            <w:r>
              <w:rPr>
                <w:rFonts w:ascii="Consolas" w:hAnsi="Consolas"/>
                <w:color w:val="9C274E"/>
                <w:sz w:val="16"/>
              </w:rPr>
              <w:t>invoiced_status: "unbilled"</w:t>
            </w:r>
            <w:r>
              <w:rPr>
                <w:sz w:val="17"/>
              </w:rPr>
              <w:t xml:space="preserve"> with nothing to bill it</w:t>
            </w:r>
          </w:p>
        </w:tc>
        <w:tc>
          <w:tcPr>
            <w:tcW w:type="dxa" w:w="1392"/>
            <w:shd w:val="clear" w:color="auto" w:fill="F4F6F9"/>
          </w:tcPr>
          <w:p>
            <w:pPr>
              <w:spacing w:after="40" w:before="40"/>
              <w:jc w:val="center"/>
            </w:pPr>
            <w:r>
              <w:rPr>
                <w:sz w:val="17"/>
              </w:rPr>
              <w:t>L</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left"/>
            </w:pPr>
            <w:r>
              <w:rPr>
                <w:rFonts w:ascii="Consolas" w:hAnsi="Consolas"/>
                <w:color w:val="9C274E"/>
                <w:sz w:val="16"/>
              </w:rPr>
              <w:t>Invoice.*</w:t>
            </w:r>
            <w:r>
              <w:rPr>
                <w:sz w:val="17"/>
              </w:rPr>
              <w:t xml:space="preserve">, </w:t>
            </w:r>
            <w:r>
              <w:rPr>
                <w:rFonts w:ascii="Consolas" w:hAnsi="Consolas"/>
                <w:color w:val="9C274E"/>
                <w:sz w:val="16"/>
              </w:rPr>
              <w:t>Payment.*</w:t>
            </w:r>
            <w:r>
              <w:rPr>
                <w:sz w:val="17"/>
              </w:rPr>
              <w:t xml:space="preserve">, </w:t>
            </w:r>
            <w:r>
              <w:rPr>
                <w:rFonts w:ascii="Consolas" w:hAnsi="Consolas"/>
                <w:color w:val="9C274E"/>
                <w:sz w:val="16"/>
              </w:rPr>
              <w:t>CreditNote.*</w:t>
            </w:r>
            <w:r>
              <w:rPr>
                <w:sz w:val="17"/>
              </w:rPr>
              <w:t xml:space="preserve">, </w:t>
            </w:r>
            <w:r>
              <w:rPr>
                <w:rFonts w:ascii="Consolas" w:hAnsi="Consolas"/>
                <w:color w:val="9C274E"/>
                <w:sz w:val="16"/>
              </w:rPr>
              <w:t>SalesOrder.make.Invoice</w:t>
            </w:r>
          </w:p>
        </w:tc>
        <w:tc>
          <w:tcPr>
            <w:tcW w:type="dxa" w:w="1392"/>
            <w:shd w:val="clear" w:color="auto" w:fill="F4F6F9"/>
          </w:tcPr>
          <w:p>
            <w:pPr>
              <w:spacing w:after="40" w:before="40"/>
              <w:jc w:val="left"/>
            </w:pPr>
            <w:r>
              <w:rPr>
                <w:sz w:val="17"/>
              </w:rPr>
              <w:t>Zoho, Odoo, ERPNext</w:t>
            </w:r>
          </w:p>
        </w:tc>
      </w:tr>
      <w:tr>
        <w:tc>
          <w:tcPr>
            <w:tcW w:type="dxa" w:w="1392"/>
          </w:tcPr>
          <w:p>
            <w:pPr>
              <w:spacing w:after="40" w:before="40"/>
              <w:jc w:val="left"/>
            </w:pPr>
            <w:r>
              <w:rPr>
                <w:sz w:val="17"/>
              </w:rPr>
              <w:t>P0-7</w:t>
            </w:r>
          </w:p>
        </w:tc>
        <w:tc>
          <w:tcPr>
            <w:tcW w:type="dxa" w:w="1392"/>
          </w:tcPr>
          <w:p>
            <w:pPr>
              <w:spacing w:after="40" w:before="40"/>
              <w:jc w:val="left"/>
            </w:pPr>
            <w:r>
              <w:rPr>
                <w:sz w:val="17"/>
              </w:rPr>
              <w:t>Agents can be run but not authored</w:t>
            </w:r>
          </w:p>
        </w:tc>
        <w:tc>
          <w:tcPr>
            <w:tcW w:type="dxa" w:w="1392"/>
          </w:tcPr>
          <w:p>
            <w:pPr>
              <w:spacing w:after="40" w:before="40"/>
              <w:jc w:val="left"/>
            </w:pPr>
            <w:r>
              <w:rPr>
                <w:rFonts w:ascii="Consolas" w:hAnsi="Consolas"/>
                <w:color w:val="9C274E"/>
                <w:sz w:val="16"/>
              </w:rPr>
              <w:t>AgentSkill</w:t>
            </w:r>
            <w:r>
              <w:rPr>
                <w:sz w:val="17"/>
              </w:rPr>
              <w:t xml:space="preserve">, </w:t>
            </w:r>
            <w:r>
              <w:rPr>
                <w:rFonts w:ascii="Consolas" w:hAnsi="Consolas"/>
                <w:color w:val="9C274E"/>
                <w:sz w:val="16"/>
              </w:rPr>
              <w:t>AgentPersona</w:t>
            </w:r>
            <w:r>
              <w:rPr>
                <w:sz w:val="17"/>
              </w:rPr>
              <w:t xml:space="preserve">, </w:t>
            </w:r>
            <w:r>
              <w:rPr>
                <w:rFonts w:ascii="Consolas" w:hAnsi="Consolas"/>
                <w:color w:val="9C274E"/>
                <w:sz w:val="16"/>
              </w:rPr>
              <w:t>AgentRunbook</w:t>
            </w:r>
            <w:r>
              <w:rPr>
                <w:sz w:val="17"/>
              </w:rPr>
              <w:t xml:space="preserve">, </w:t>
            </w:r>
            <w:r>
              <w:rPr>
                <w:rFonts w:ascii="Consolas" w:hAnsi="Consolas"/>
                <w:color w:val="9C274E"/>
                <w:sz w:val="16"/>
              </w:rPr>
              <w:t>AgentToolPolicy</w:t>
            </w:r>
            <w:r>
              <w:rPr>
                <w:sz w:val="17"/>
              </w:rPr>
              <w:t xml:space="preserve">, </w:t>
            </w:r>
            <w:r>
              <w:rPr>
                <w:rFonts w:ascii="Consolas" w:hAnsi="Consolas"/>
                <w:color w:val="9C274E"/>
                <w:sz w:val="16"/>
              </w:rPr>
              <w:t>AgentProvider</w:t>
            </w:r>
            <w:r>
              <w:rPr>
                <w:sz w:val="17"/>
              </w:rPr>
              <w:t xml:space="preserve">, </w:t>
            </w:r>
            <w:r>
              <w:rPr>
                <w:rFonts w:ascii="Consolas" w:hAnsi="Consolas"/>
                <w:color w:val="9C274E"/>
                <w:sz w:val="16"/>
              </w:rPr>
              <w:t>AgentFloorConfig</w:t>
            </w:r>
            <w:r>
              <w:rPr>
                <w:sz w:val="17"/>
              </w:rPr>
              <w:t xml:space="preserve"> are </w:t>
            </w:r>
            <w:r>
              <w:rPr>
                <w:rFonts w:ascii="Consolas" w:hAnsi="Consolas"/>
                <w:color w:val="9C274E"/>
                <w:sz w:val="16"/>
              </w:rPr>
              <w:t>list</w:t>
            </w:r>
            <w:r>
              <w:rPr>
                <w:sz w:val="17"/>
              </w:rPr>
              <w:t>/</w:t>
            </w:r>
            <w:r>
              <w:rPr>
                <w:rFonts w:ascii="Consolas" w:hAnsi="Consolas"/>
                <w:color w:val="9C274E"/>
                <w:sz w:val="16"/>
              </w:rPr>
              <w:t>get</w:t>
            </w:r>
            <w:r>
              <w:rPr>
                <w:sz w:val="17"/>
              </w:rPr>
              <w:t xml:space="preserve"> only</w:t>
            </w:r>
          </w:p>
        </w:tc>
        <w:tc>
          <w:tcPr>
            <w:tcW w:type="dxa" w:w="1392"/>
          </w:tcPr>
          <w:p>
            <w:pPr>
              <w:spacing w:after="40" w:before="40"/>
              <w:jc w:val="center"/>
            </w:pPr>
            <w:r>
              <w:rPr>
                <w:sz w:val="17"/>
              </w:rPr>
              <w:t>L</w:t>
            </w:r>
          </w:p>
        </w:tc>
        <w:tc>
          <w:tcPr>
            <w:tcW w:type="dxa" w:w="1392"/>
          </w:tcPr>
          <w:p>
            <w:pPr>
              <w:spacing w:after="40" w:before="40"/>
              <w:jc w:val="center"/>
            </w:pPr>
            <w:r>
              <w:rPr>
                <w:sz w:val="17"/>
              </w:rPr>
              <w:t>—</w:t>
            </w:r>
          </w:p>
        </w:tc>
        <w:tc>
          <w:tcPr>
            <w:tcW w:type="dxa" w:w="1392"/>
          </w:tcPr>
          <w:p>
            <w:pPr>
              <w:spacing w:after="40" w:before="40"/>
              <w:jc w:val="left"/>
            </w:pPr>
            <w:r>
              <w:rPr>
                <w:rFonts w:ascii="Consolas" w:hAnsi="Consolas"/>
                <w:color w:val="9C274E"/>
                <w:sz w:val="16"/>
              </w:rPr>
              <w:t>AgentSkill.create/update/version/publish</w:t>
            </w:r>
            <w:r>
              <w:rPr>
                <w:sz w:val="17"/>
              </w:rPr>
              <w:t xml:space="preserve">, </w:t>
            </w:r>
            <w:r>
              <w:rPr>
                <w:rFonts w:ascii="Consolas" w:hAnsi="Consolas"/>
                <w:color w:val="9C274E"/>
                <w:sz w:val="16"/>
              </w:rPr>
              <w:t>AgentPersona.create/update</w:t>
            </w:r>
          </w:p>
        </w:tc>
        <w:tc>
          <w:tcPr>
            <w:tcW w:type="dxa" w:w="1392"/>
          </w:tcPr>
          <w:p>
            <w:pPr>
              <w:spacing w:after="40" w:before="40"/>
              <w:jc w:val="left"/>
            </w:pPr>
            <w:r>
              <w:rPr>
                <w:sz w:val="17"/>
              </w:rPr>
              <w:t>Agentforce Builder, Breeze Studio, Twenty</w:t>
            </w:r>
          </w:p>
        </w:tc>
      </w:tr>
      <w:tr>
        <w:tc>
          <w:tcPr>
            <w:tcW w:type="dxa" w:w="1392"/>
            <w:shd w:val="clear" w:color="auto" w:fill="F4F6F9"/>
          </w:tcPr>
          <w:p>
            <w:pPr>
              <w:spacing w:after="40" w:before="40"/>
              <w:jc w:val="left"/>
            </w:pPr>
            <w:r>
              <w:rPr>
                <w:sz w:val="17"/>
              </w:rPr>
              <w:t>P0-8</w:t>
            </w:r>
          </w:p>
        </w:tc>
        <w:tc>
          <w:tcPr>
            <w:tcW w:type="dxa" w:w="1392"/>
            <w:shd w:val="clear" w:color="auto" w:fill="F4F6F9"/>
          </w:tcPr>
          <w:p>
            <w:pPr>
              <w:spacing w:after="40" w:before="40"/>
              <w:jc w:val="left"/>
            </w:pPr>
            <w:r>
              <w:rPr>
                <w:sz w:val="17"/>
              </w:rPr>
              <w:t>Interactions can only name one person</w:t>
            </w:r>
          </w:p>
        </w:tc>
        <w:tc>
          <w:tcPr>
            <w:tcW w:type="dxa" w:w="1392"/>
            <w:shd w:val="clear" w:color="auto" w:fill="F4F6F9"/>
          </w:tcPr>
          <w:p>
            <w:pPr>
              <w:spacing w:after="40" w:before="40"/>
              <w:jc w:val="left"/>
            </w:pPr>
            <w:r>
              <w:rPr>
                <w:rFonts w:ascii="Consolas" w:hAnsi="Consolas"/>
                <w:color w:val="9C274E"/>
                <w:sz w:val="16"/>
              </w:rPr>
              <w:t>Note.create</w:t>
            </w:r>
            <w:r>
              <w:rPr>
                <w:sz w:val="17"/>
              </w:rPr>
              <w:t xml:space="preserve"> and </w:t>
            </w:r>
            <w:r>
              <w:rPr>
                <w:rFonts w:ascii="Consolas" w:hAnsi="Consolas"/>
                <w:color w:val="9C274E"/>
                <w:sz w:val="16"/>
              </w:rPr>
              <w:t>Activity.create</w:t>
            </w:r>
            <w:r>
              <w:rPr>
                <w:sz w:val="17"/>
              </w:rPr>
              <w:t xml:space="preserve"> each take a single </w:t>
            </w:r>
            <w:r>
              <w:rPr>
                <w:rFonts w:ascii="Consolas" w:hAnsi="Consolas"/>
                <w:color w:val="9C274E"/>
                <w:sz w:val="16"/>
              </w:rPr>
              <w:t>party_id</w:t>
            </w:r>
            <w:r>
              <w:rPr>
                <w:sz w:val="17"/>
              </w:rPr>
              <w:t xml:space="preserve"> — a four-attendee meeting cannot be recorded as one</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b/>
                <w:sz w:val="17"/>
              </w:rPr>
              <w:t>1</w:t>
            </w:r>
          </w:p>
        </w:tc>
        <w:tc>
          <w:tcPr>
            <w:tcW w:type="dxa" w:w="1392"/>
            <w:shd w:val="clear" w:color="auto" w:fill="F4F6F9"/>
          </w:tcPr>
          <w:p>
            <w:pPr>
              <w:spacing w:after="40" w:before="40"/>
              <w:jc w:val="left"/>
            </w:pPr>
            <w:r>
              <w:rPr>
                <w:rFonts w:ascii="Consolas" w:hAnsi="Consolas"/>
                <w:color w:val="9C274E"/>
                <w:sz w:val="16"/>
              </w:rPr>
              <w:t>ActivityParticipant(activity_id, party_id, role)</w:t>
            </w:r>
            <w:r>
              <w:rPr>
                <w:sz w:val="17"/>
              </w:rPr>
              <w:t xml:space="preserve"> join table</w:t>
            </w:r>
          </w:p>
        </w:tc>
        <w:tc>
          <w:tcPr>
            <w:tcW w:type="dxa" w:w="1392"/>
            <w:shd w:val="clear" w:color="auto" w:fill="F4F6F9"/>
          </w:tcPr>
          <w:p>
            <w:pPr>
              <w:spacing w:after="40" w:before="40"/>
              <w:jc w:val="left"/>
            </w:pPr>
            <w:r>
              <w:rPr>
                <w:sz w:val="17"/>
              </w:rPr>
              <w:t>Every calendar-integrated CRM</w:t>
            </w:r>
          </w:p>
        </w:tc>
      </w:tr>
    </w:tbl>
    <w:p>
      <w:pPr>
        <w:spacing w:after="80"/>
      </w:pPr>
    </w:p>
    <w:p>
      <w:pPr>
        <w:pStyle w:val="Heading3"/>
      </w:pPr>
      <w:r>
        <w:t>4.2 P1 — parity gaps competitors market against us</w:t>
      </w:r>
    </w:p>
    <w:tbl>
      <w:tblPr>
        <w:tblStyle w:val="TableGrid"/>
        <w:tblW w:type="auto" w:w="0"/>
        <w:jc w:val="center"/>
        <w:tblLayout w:type="autofit"/>
        <w:tblLook w:firstColumn="1" w:firstRow="1" w:lastColumn="0" w:lastRow="0" w:noHBand="0" w:noVBand="1" w:val="04A0"/>
        <w:tblCellMar>
          <w:top w:w="60" w:type="dxa"/>
          <w:bottom w:w="60" w:type="dxa"/>
          <w:left w:w="70" w:type="dxa"/>
          <w:right w:w="70" w:type="dxa"/>
        </w:tblCellMar>
      </w:tblPr>
      <w:tblGrid>
        <w:gridCol w:w="1392"/>
        <w:gridCol w:w="1392"/>
        <w:gridCol w:w="1392"/>
        <w:gridCol w:w="1392"/>
        <w:gridCol w:w="1392"/>
        <w:gridCol w:w="1392"/>
        <w:gridCol w:w="1392"/>
      </w:tblGrid>
      <w:tr>
        <w:trPr>
          <w:tblHeader w:val="true"/>
        </w:trPr>
        <w:tc>
          <w:tcPr>
            <w:tcW w:type="dxa" w:w="1392"/>
            <w:shd w:val="clear" w:color="auto" w:fill="1F3864"/>
          </w:tcPr>
          <w:p>
            <w:pPr>
              <w:spacing w:after="40" w:before="40"/>
              <w:jc w:val="left"/>
            </w:pPr>
            <w:r>
              <w:rPr>
                <w:b/>
                <w:color w:val="FFFFFF"/>
                <w:sz w:val="17"/>
              </w:rPr>
              <w:t>ID</w:t>
            </w:r>
          </w:p>
        </w:tc>
        <w:tc>
          <w:tcPr>
            <w:tcW w:type="dxa" w:w="1392"/>
            <w:shd w:val="clear" w:color="auto" w:fill="1F3864"/>
          </w:tcPr>
          <w:p>
            <w:pPr>
              <w:spacing w:after="40" w:before="40"/>
              <w:jc w:val="left"/>
            </w:pPr>
            <w:r>
              <w:rPr>
                <w:b/>
                <w:color w:val="FFFFFF"/>
                <w:sz w:val="17"/>
              </w:rPr>
              <w:t>Gap</w:t>
            </w:r>
          </w:p>
        </w:tc>
        <w:tc>
          <w:tcPr>
            <w:tcW w:type="dxa" w:w="1392"/>
            <w:shd w:val="clear" w:color="auto" w:fill="1F3864"/>
          </w:tcPr>
          <w:p>
            <w:pPr>
              <w:spacing w:after="40" w:before="40"/>
              <w:jc w:val="left"/>
            </w:pPr>
            <w:r>
              <w:rPr>
                <w:b/>
                <w:color w:val="FFFFFF"/>
                <w:sz w:val="17"/>
              </w:rPr>
              <w:t>Evidence</w:t>
            </w:r>
          </w:p>
        </w:tc>
        <w:tc>
          <w:tcPr>
            <w:tcW w:type="dxa" w:w="1392"/>
            <w:shd w:val="clear" w:color="auto" w:fill="1F3864"/>
          </w:tcPr>
          <w:p>
            <w:pPr>
              <w:spacing w:after="40" w:before="40"/>
              <w:jc w:val="center"/>
            </w:pPr>
            <w:r>
              <w:rPr>
                <w:b/>
                <w:color w:val="FFFFFF"/>
                <w:sz w:val="17"/>
              </w:rPr>
              <w:t>Effort</w:t>
            </w:r>
          </w:p>
        </w:tc>
        <w:tc>
          <w:tcPr>
            <w:tcW w:type="dxa" w:w="1392"/>
            <w:shd w:val="clear" w:color="auto" w:fill="1F3864"/>
          </w:tcPr>
          <w:p>
            <w:pPr>
              <w:spacing w:after="40" w:before="40"/>
              <w:jc w:val="center"/>
            </w:pPr>
            <w:r>
              <w:rPr>
                <w:b/>
                <w:color w:val="FFFFFF"/>
                <w:sz w:val="17"/>
              </w:rPr>
              <w:t>Wk</w:t>
            </w:r>
          </w:p>
        </w:tc>
        <w:tc>
          <w:tcPr>
            <w:tcW w:type="dxa" w:w="1392"/>
            <w:shd w:val="clear" w:color="auto" w:fill="1F3864"/>
          </w:tcPr>
          <w:p>
            <w:pPr>
              <w:spacing w:after="40" w:before="40"/>
              <w:jc w:val="left"/>
            </w:pPr>
            <w:r>
              <w:rPr>
                <w:b/>
                <w:color w:val="FFFFFF"/>
                <w:sz w:val="17"/>
              </w:rPr>
              <w:t>Proposed surface</w:t>
            </w:r>
          </w:p>
        </w:tc>
        <w:tc>
          <w:tcPr>
            <w:tcW w:type="dxa" w:w="1392"/>
            <w:shd w:val="clear" w:color="auto" w:fill="1F3864"/>
          </w:tcPr>
          <w:p>
            <w:pPr>
              <w:spacing w:after="40" w:before="40"/>
              <w:jc w:val="left"/>
            </w:pPr>
            <w:r>
              <w:rPr>
                <w:b/>
                <w:color w:val="FFFFFF"/>
                <w:sz w:val="17"/>
              </w:rPr>
              <w:t>Who ships it</w:t>
            </w:r>
          </w:p>
        </w:tc>
      </w:tr>
      <w:tr>
        <w:tc>
          <w:tcPr>
            <w:tcW w:type="dxa" w:w="1392"/>
          </w:tcPr>
          <w:p>
            <w:pPr>
              <w:spacing w:after="40" w:before="40"/>
              <w:jc w:val="left"/>
            </w:pPr>
            <w:r>
              <w:rPr>
                <w:sz w:val="17"/>
              </w:rPr>
              <w:t>P1-1</w:t>
            </w:r>
          </w:p>
        </w:tc>
        <w:tc>
          <w:tcPr>
            <w:tcW w:type="dxa" w:w="1392"/>
          </w:tcPr>
          <w:p>
            <w:pPr>
              <w:spacing w:after="40" w:before="40"/>
              <w:jc w:val="left"/>
            </w:pPr>
            <w:r>
              <w:rPr>
                <w:sz w:val="17"/>
              </w:rPr>
              <w:t>GST fields with no filing path</w:t>
            </w:r>
          </w:p>
        </w:tc>
        <w:tc>
          <w:tcPr>
            <w:tcW w:type="dxa" w:w="1392"/>
          </w:tcPr>
          <w:p>
            <w:pPr>
              <w:spacing w:after="40" w:before="40"/>
              <w:jc w:val="left"/>
            </w:pPr>
            <w:r>
              <w:rPr>
                <w:sz w:val="17"/>
              </w:rPr>
              <w:t xml:space="preserve">Orders carry </w:t>
            </w:r>
            <w:r>
              <w:rPr>
                <w:rFonts w:ascii="Consolas" w:hAnsi="Consolas"/>
                <w:color w:val="9C274E"/>
                <w:sz w:val="16"/>
              </w:rPr>
              <w:t>gst_treatment</w:t>
            </w:r>
            <w:r>
              <w:rPr>
                <w:sz w:val="17"/>
              </w:rPr>
              <w:t xml:space="preserve">, </w:t>
            </w:r>
            <w:r>
              <w:rPr>
                <w:rFonts w:ascii="Consolas" w:hAnsi="Consolas"/>
                <w:color w:val="9C274E"/>
                <w:sz w:val="16"/>
              </w:rPr>
              <w:t>place_of_supply</w:t>
            </w:r>
            <w:r>
              <w:rPr>
                <w:sz w:val="17"/>
              </w:rPr>
              <w:t xml:space="preserve">, </w:t>
            </w:r>
            <w:r>
              <w:rPr>
                <w:rFonts w:ascii="Consolas" w:hAnsi="Consolas"/>
                <w:color w:val="9C274E"/>
                <w:sz w:val="16"/>
              </w:rPr>
              <w:t>hsn_or_sac</w:t>
            </w:r>
            <w:r>
              <w:rPr>
                <w:sz w:val="17"/>
              </w:rPr>
              <w:t xml:space="preserve">, </w:t>
            </w:r>
            <w:r>
              <w:rPr>
                <w:rFonts w:ascii="Consolas" w:hAnsi="Consolas"/>
                <w:color w:val="9C274E"/>
                <w:sz w:val="16"/>
              </w:rPr>
              <w:t>tds_*</w:t>
            </w:r>
            <w:r>
              <w:rPr>
                <w:sz w:val="17"/>
              </w:rPr>
              <w:t xml:space="preserve">, </w:t>
            </w:r>
            <w:r>
              <w:rPr>
                <w:rFonts w:ascii="Consolas" w:hAnsi="Consolas"/>
                <w:color w:val="9C274E"/>
                <w:sz w:val="16"/>
              </w:rPr>
              <w:t>tcs_*</w:t>
            </w:r>
            <w:r>
              <w:rPr>
                <w:sz w:val="17"/>
              </w:rPr>
              <w:t xml:space="preserve"> — no e-invoice, IRN or GSTR export</w:t>
            </w:r>
          </w:p>
        </w:tc>
        <w:tc>
          <w:tcPr>
            <w:tcW w:type="dxa" w:w="1392"/>
          </w:tcPr>
          <w:p>
            <w:pPr>
              <w:spacing w:after="40" w:before="40"/>
              <w:jc w:val="center"/>
            </w:pPr>
            <w:r>
              <w:rPr>
                <w:sz w:val="17"/>
              </w:rPr>
              <w:t>M</w:t>
            </w:r>
          </w:p>
        </w:tc>
        <w:tc>
          <w:tcPr>
            <w:tcW w:type="dxa" w:w="1392"/>
          </w:tcPr>
          <w:p>
            <w:pPr>
              <w:spacing w:after="40" w:before="40"/>
              <w:jc w:val="center"/>
            </w:pPr>
            <w:r>
              <w:rPr>
                <w:sz w:val="17"/>
              </w:rPr>
              <w:t>—</w:t>
            </w:r>
          </w:p>
        </w:tc>
        <w:tc>
          <w:tcPr>
            <w:tcW w:type="dxa" w:w="1392"/>
          </w:tcPr>
          <w:p>
            <w:pPr>
              <w:spacing w:after="40" w:before="40"/>
              <w:jc w:val="left"/>
            </w:pPr>
            <w:r>
              <w:rPr>
                <w:rFonts w:ascii="Consolas" w:hAnsi="Consolas"/>
                <w:color w:val="9C274E"/>
                <w:sz w:val="16"/>
              </w:rPr>
              <w:t>Invoice.einvoice_generate</w:t>
            </w:r>
            <w:r>
              <w:rPr>
                <w:sz w:val="17"/>
              </w:rPr>
              <w:t xml:space="preserve"> (IRN + QR), </w:t>
            </w:r>
            <w:r>
              <w:rPr>
                <w:rFonts w:ascii="Consolas" w:hAnsi="Consolas"/>
                <w:color w:val="9C274E"/>
                <w:sz w:val="16"/>
              </w:rPr>
              <w:t>tax.gstr_export</w:t>
            </w:r>
          </w:p>
        </w:tc>
        <w:tc>
          <w:tcPr>
            <w:tcW w:type="dxa" w:w="1392"/>
          </w:tcPr>
          <w:p>
            <w:pPr>
              <w:spacing w:after="40" w:before="40"/>
              <w:jc w:val="left"/>
            </w:pPr>
            <w:r>
              <w:rPr>
                <w:sz w:val="17"/>
              </w:rPr>
              <w:t>ERPNext natively</w:t>
            </w:r>
          </w:p>
        </w:tc>
      </w:tr>
      <w:tr>
        <w:tc>
          <w:tcPr>
            <w:tcW w:type="dxa" w:w="1392"/>
            <w:shd w:val="clear" w:color="auto" w:fill="F4F6F9"/>
          </w:tcPr>
          <w:p>
            <w:pPr>
              <w:spacing w:after="40" w:before="40"/>
              <w:jc w:val="left"/>
            </w:pPr>
            <w:r>
              <w:rPr>
                <w:sz w:val="17"/>
              </w:rPr>
              <w:t>P1-2</w:t>
            </w:r>
          </w:p>
        </w:tc>
        <w:tc>
          <w:tcPr>
            <w:tcW w:type="dxa" w:w="1392"/>
            <w:shd w:val="clear" w:color="auto" w:fill="F4F6F9"/>
          </w:tcPr>
          <w:p>
            <w:pPr>
              <w:spacing w:after="40" w:before="40"/>
              <w:jc w:val="left"/>
            </w:pPr>
            <w:r>
              <w:rPr>
                <w:sz w:val="17"/>
              </w:rPr>
              <w:t>No service desk or SLA</w:t>
            </w:r>
          </w:p>
        </w:tc>
        <w:tc>
          <w:tcPr>
            <w:tcW w:type="dxa" w:w="1392"/>
            <w:shd w:val="clear" w:color="auto" w:fill="F4F6F9"/>
          </w:tcPr>
          <w:p>
            <w:pPr>
              <w:spacing w:after="40" w:before="40"/>
              <w:jc w:val="left"/>
            </w:pPr>
            <w:r>
              <w:rPr>
                <w:rFonts w:ascii="Consolas" w:hAnsi="Consolas"/>
                <w:color w:val="9C274E"/>
                <w:sz w:val="16"/>
              </w:rPr>
              <w:t>BugReport</w:t>
            </w:r>
            <w:r>
              <w:rPr>
                <w:sz w:val="17"/>
              </w:rPr>
              <w:t xml:space="preserve"> is create-only; no queue, no SLA clock</w:t>
            </w:r>
          </w:p>
        </w:tc>
        <w:tc>
          <w:tcPr>
            <w:tcW w:type="dxa" w:w="1392"/>
            <w:shd w:val="clear" w:color="auto" w:fill="F4F6F9"/>
          </w:tcPr>
          <w:p>
            <w:pPr>
              <w:spacing w:after="40" w:before="40"/>
              <w:jc w:val="center"/>
            </w:pPr>
            <w:r>
              <w:rPr>
                <w:sz w:val="17"/>
              </w:rPr>
              <w:t>L</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left"/>
            </w:pPr>
            <w:r>
              <w:rPr>
                <w:rFonts w:ascii="Consolas" w:hAnsi="Consolas"/>
                <w:color w:val="9C274E"/>
                <w:sz w:val="16"/>
              </w:rPr>
              <w:t>Ticket.*</w:t>
            </w:r>
            <w:r>
              <w:rPr>
                <w:sz w:val="17"/>
              </w:rPr>
              <w:t xml:space="preserve"> with SLA policy, queue assignment, CSAT</w:t>
            </w:r>
          </w:p>
        </w:tc>
        <w:tc>
          <w:tcPr>
            <w:tcW w:type="dxa" w:w="1392"/>
            <w:shd w:val="clear" w:color="auto" w:fill="F4F6F9"/>
          </w:tcPr>
          <w:p>
            <w:pPr>
              <w:spacing w:after="40" w:before="40"/>
              <w:jc w:val="left"/>
            </w:pPr>
            <w:r>
              <w:rPr>
                <w:sz w:val="17"/>
              </w:rPr>
              <w:t>HubSpot Service Hub, Zoho Desk, Freshdesk</w:t>
            </w:r>
          </w:p>
        </w:tc>
      </w:tr>
      <w:tr>
        <w:tc>
          <w:tcPr>
            <w:tcW w:type="dxa" w:w="1392"/>
          </w:tcPr>
          <w:p>
            <w:pPr>
              <w:spacing w:after="40" w:before="40"/>
              <w:jc w:val="left"/>
            </w:pPr>
            <w:r>
              <w:rPr>
                <w:sz w:val="17"/>
              </w:rPr>
              <w:t>P1-3</w:t>
            </w:r>
          </w:p>
        </w:tc>
        <w:tc>
          <w:tcPr>
            <w:tcW w:type="dxa" w:w="1392"/>
          </w:tcPr>
          <w:p>
            <w:pPr>
              <w:spacing w:after="40" w:before="40"/>
              <w:jc w:val="left"/>
            </w:pPr>
            <w:r>
              <w:rPr>
                <w:sz w:val="17"/>
              </w:rPr>
              <w:t>No outbound email, sequences or templates</w:t>
            </w:r>
          </w:p>
        </w:tc>
        <w:tc>
          <w:tcPr>
            <w:tcW w:type="dxa" w:w="1392"/>
          </w:tcPr>
          <w:p>
            <w:pPr>
              <w:spacing w:after="40" w:before="40"/>
              <w:jc w:val="left"/>
            </w:pPr>
            <w:r>
              <w:rPr>
                <w:sz w:val="17"/>
              </w:rPr>
              <w:t xml:space="preserve">Only </w:t>
            </w:r>
            <w:r>
              <w:rPr>
                <w:rFonts w:ascii="Consolas" w:hAnsi="Consolas"/>
                <w:color w:val="9C274E"/>
                <w:sz w:val="16"/>
              </w:rPr>
              <w:t>endpoint.email.public.subscriber_lists</w:t>
            </w:r>
            <w:r>
              <w:rPr>
                <w:sz w:val="17"/>
              </w:rPr>
              <w:t>, a read of public lists</w:t>
            </w:r>
          </w:p>
        </w:tc>
        <w:tc>
          <w:tcPr>
            <w:tcW w:type="dxa" w:w="1392"/>
          </w:tcPr>
          <w:p>
            <w:pPr>
              <w:spacing w:after="40" w:before="40"/>
              <w:jc w:val="center"/>
            </w:pPr>
            <w:r>
              <w:rPr>
                <w:sz w:val="17"/>
              </w:rPr>
              <w:t>L</w:t>
            </w:r>
          </w:p>
        </w:tc>
        <w:tc>
          <w:tcPr>
            <w:tcW w:type="dxa" w:w="1392"/>
          </w:tcPr>
          <w:p>
            <w:pPr>
              <w:spacing w:after="40" w:before="40"/>
              <w:jc w:val="center"/>
            </w:pPr>
            <w:r>
              <w:rPr>
                <w:sz w:val="17"/>
              </w:rPr>
              <w:t>—</w:t>
            </w:r>
          </w:p>
        </w:tc>
        <w:tc>
          <w:tcPr>
            <w:tcW w:type="dxa" w:w="1392"/>
          </w:tcPr>
          <w:p>
            <w:pPr>
              <w:spacing w:after="40" w:before="40"/>
              <w:jc w:val="left"/>
            </w:pPr>
            <w:r>
              <w:rPr>
                <w:rFonts w:ascii="Consolas" w:hAnsi="Consolas"/>
                <w:color w:val="9C274E"/>
                <w:sz w:val="16"/>
              </w:rPr>
              <w:t>Email.send</w:t>
            </w:r>
            <w:r>
              <w:rPr>
                <w:sz w:val="17"/>
              </w:rPr>
              <w:t xml:space="preserve">, </w:t>
            </w:r>
            <w:r>
              <w:rPr>
                <w:rFonts w:ascii="Consolas" w:hAnsi="Consolas"/>
                <w:color w:val="9C274E"/>
                <w:sz w:val="16"/>
              </w:rPr>
              <w:t>EmailTemplate.*</w:t>
            </w:r>
            <w:r>
              <w:rPr>
                <w:sz w:val="17"/>
              </w:rPr>
              <w:t xml:space="preserve">, </w:t>
            </w:r>
            <w:r>
              <w:rPr>
                <w:rFonts w:ascii="Consolas" w:hAnsi="Consolas"/>
                <w:color w:val="9C274E"/>
                <w:sz w:val="16"/>
              </w:rPr>
              <w:t>Sequence.*</w:t>
            </w:r>
            <w:r>
              <w:rPr>
                <w:sz w:val="17"/>
              </w:rPr>
              <w:t xml:space="preserve"> with open and reply tracking</w:t>
            </w:r>
          </w:p>
        </w:tc>
        <w:tc>
          <w:tcPr>
            <w:tcW w:type="dxa" w:w="1392"/>
          </w:tcPr>
          <w:p>
            <w:pPr>
              <w:spacing w:after="40" w:before="40"/>
              <w:jc w:val="left"/>
            </w:pPr>
            <w:r>
              <w:rPr>
                <w:sz w:val="17"/>
              </w:rPr>
              <w:t>Attio Pro, Zoho, HubSpot</w:t>
            </w:r>
          </w:p>
        </w:tc>
      </w:tr>
      <w:tr>
        <w:tc>
          <w:tcPr>
            <w:tcW w:type="dxa" w:w="1392"/>
            <w:shd w:val="clear" w:color="auto" w:fill="F4F6F9"/>
          </w:tcPr>
          <w:p>
            <w:pPr>
              <w:spacing w:after="40" w:before="40"/>
              <w:jc w:val="left"/>
            </w:pPr>
            <w:r>
              <w:rPr>
                <w:sz w:val="17"/>
              </w:rPr>
              <w:t>P1-4</w:t>
            </w:r>
          </w:p>
        </w:tc>
        <w:tc>
          <w:tcPr>
            <w:tcW w:type="dxa" w:w="1392"/>
            <w:shd w:val="clear" w:color="auto" w:fill="F4F6F9"/>
          </w:tcPr>
          <w:p>
            <w:pPr>
              <w:spacing w:after="40" w:before="40"/>
              <w:jc w:val="left"/>
            </w:pPr>
            <w:r>
              <w:rPr>
                <w:sz w:val="17"/>
              </w:rPr>
              <w:t>Audiences with no campaign behind them</w:t>
            </w:r>
          </w:p>
        </w:tc>
        <w:tc>
          <w:tcPr>
            <w:tcW w:type="dxa" w:w="1392"/>
            <w:shd w:val="clear" w:color="auto" w:fill="F4F6F9"/>
          </w:tcPr>
          <w:p>
            <w:pPr>
              <w:spacing w:after="40" w:before="40"/>
              <w:jc w:val="left"/>
            </w:pPr>
            <w:r>
              <w:rPr>
                <w:rFonts w:ascii="Consolas" w:hAnsi="Consolas"/>
                <w:color w:val="9C274E"/>
                <w:sz w:val="16"/>
              </w:rPr>
              <w:t>CampaignAudience</w:t>
            </w:r>
            <w:r>
              <w:rPr>
                <w:sz w:val="17"/>
              </w:rPr>
              <w:t xml:space="preserve"> previews and syncs, but no Campaign entity, send or attribution</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left"/>
            </w:pPr>
            <w:r>
              <w:rPr>
                <w:rFonts w:ascii="Consolas" w:hAnsi="Consolas"/>
                <w:color w:val="9C274E"/>
                <w:sz w:val="16"/>
              </w:rPr>
              <w:t>Campaign.*</w:t>
            </w:r>
            <w:r>
              <w:rPr>
                <w:sz w:val="17"/>
              </w:rPr>
              <w:t xml:space="preserve"> with channel send and revenue attribution</w:t>
            </w:r>
          </w:p>
        </w:tc>
        <w:tc>
          <w:tcPr>
            <w:tcW w:type="dxa" w:w="1392"/>
            <w:shd w:val="clear" w:color="auto" w:fill="F4F6F9"/>
          </w:tcPr>
          <w:p>
            <w:pPr>
              <w:spacing w:after="40" w:before="40"/>
              <w:jc w:val="left"/>
            </w:pPr>
            <w:r>
              <w:rPr>
                <w:sz w:val="17"/>
              </w:rPr>
              <w:t>HubSpot, Zoho Campaigns, Marketing Cloud</w:t>
            </w:r>
          </w:p>
        </w:tc>
      </w:tr>
      <w:tr>
        <w:tc>
          <w:tcPr>
            <w:tcW w:type="dxa" w:w="1392"/>
          </w:tcPr>
          <w:p>
            <w:pPr>
              <w:spacing w:after="40" w:before="40"/>
              <w:jc w:val="left"/>
            </w:pPr>
            <w:r>
              <w:rPr>
                <w:sz w:val="17"/>
              </w:rPr>
              <w:t>P1-5</w:t>
            </w:r>
          </w:p>
        </w:tc>
        <w:tc>
          <w:tcPr>
            <w:tcW w:type="dxa" w:w="1392"/>
          </w:tcPr>
          <w:p>
            <w:pPr>
              <w:spacing w:after="40" w:before="40"/>
              <w:jc w:val="left"/>
            </w:pPr>
            <w:r>
              <w:rPr>
                <w:sz w:val="17"/>
              </w:rPr>
              <w:t>Channels declared but not callable</w:t>
            </w:r>
          </w:p>
        </w:tc>
        <w:tc>
          <w:tcPr>
            <w:tcW w:type="dxa" w:w="1392"/>
          </w:tcPr>
          <w:p>
            <w:pPr>
              <w:spacing w:after="40" w:before="40"/>
              <w:jc w:val="left"/>
            </w:pPr>
            <w:r>
              <w:rPr>
                <w:rFonts w:ascii="Consolas" w:hAnsi="Consolas"/>
                <w:color w:val="9C274E"/>
                <w:sz w:val="16"/>
              </w:rPr>
              <w:t>AgentSession.create</w:t>
            </w:r>
            <w:r>
              <w:rPr>
                <w:sz w:val="17"/>
              </w:rPr>
              <w:t xml:space="preserve"> accepts </w:t>
            </w:r>
            <w:r>
              <w:rPr>
                <w:rFonts w:ascii="Consolas" w:hAnsi="Consolas"/>
                <w:color w:val="9C274E"/>
                <w:sz w:val="16"/>
              </w:rPr>
              <w:t>whatsapp</w:t>
            </w:r>
            <w:r>
              <w:rPr>
                <w:sz w:val="17"/>
              </w:rPr>
              <w:t xml:space="preserve">, </w:t>
            </w:r>
            <w:r>
              <w:rPr>
                <w:rFonts w:ascii="Consolas" w:hAnsi="Consolas"/>
                <w:color w:val="9C274E"/>
                <w:sz w:val="16"/>
              </w:rPr>
              <w:t>telegram</w:t>
            </w:r>
            <w:r>
              <w:rPr>
                <w:sz w:val="17"/>
              </w:rPr>
              <w:t xml:space="preserve">, </w:t>
            </w:r>
            <w:r>
              <w:rPr>
                <w:rFonts w:ascii="Consolas" w:hAnsi="Consolas"/>
                <w:color w:val="9C274E"/>
                <w:sz w:val="16"/>
              </w:rPr>
              <w:t>slack</w:t>
            </w:r>
            <w:r>
              <w:rPr>
                <w:sz w:val="17"/>
              </w:rPr>
              <w:t xml:space="preserve">, </w:t>
            </w:r>
            <w:r>
              <w:rPr>
                <w:rFonts w:ascii="Consolas" w:hAnsi="Consolas"/>
                <w:color w:val="9C274E"/>
                <w:sz w:val="16"/>
              </w:rPr>
              <w:t>discord</w:t>
            </w:r>
            <w:r>
              <w:rPr>
                <w:sz w:val="17"/>
              </w:rPr>
              <w:t xml:space="preserve">, </w:t>
            </w:r>
            <w:r>
              <w:rPr>
                <w:rFonts w:ascii="Consolas" w:hAnsi="Consolas"/>
                <w:color w:val="9C274E"/>
                <w:sz w:val="16"/>
              </w:rPr>
              <w:t>email</w:t>
            </w:r>
            <w:r>
              <w:rPr>
                <w:sz w:val="17"/>
              </w:rPr>
              <w:t xml:space="preserve"> — no tool sends on any</w:t>
            </w:r>
          </w:p>
        </w:tc>
        <w:tc>
          <w:tcPr>
            <w:tcW w:type="dxa" w:w="1392"/>
          </w:tcPr>
          <w:p>
            <w:pPr>
              <w:spacing w:after="40" w:before="40"/>
              <w:jc w:val="center"/>
            </w:pPr>
            <w:r>
              <w:rPr>
                <w:sz w:val="17"/>
              </w:rPr>
              <w:t>M</w:t>
            </w:r>
          </w:p>
        </w:tc>
        <w:tc>
          <w:tcPr>
            <w:tcW w:type="dxa" w:w="1392"/>
          </w:tcPr>
          <w:p>
            <w:pPr>
              <w:spacing w:after="40" w:before="40"/>
              <w:jc w:val="center"/>
            </w:pPr>
            <w:r>
              <w:rPr>
                <w:sz w:val="17"/>
              </w:rPr>
              <w:t>—</w:t>
            </w:r>
          </w:p>
        </w:tc>
        <w:tc>
          <w:tcPr>
            <w:tcW w:type="dxa" w:w="1392"/>
          </w:tcPr>
          <w:p>
            <w:pPr>
              <w:spacing w:after="40" w:before="40"/>
              <w:jc w:val="left"/>
            </w:pPr>
            <w:r>
              <w:rPr>
                <w:rFonts w:ascii="Consolas" w:hAnsi="Consolas"/>
                <w:color w:val="9C274E"/>
                <w:sz w:val="16"/>
              </w:rPr>
              <w:t>Channel.send(session_id, channel, payload)</w:t>
            </w:r>
            <w:r>
              <w:rPr>
                <w:sz w:val="17"/>
              </w:rPr>
              <w:t xml:space="preserve"> and inbound webhook intake</w:t>
            </w:r>
          </w:p>
        </w:tc>
        <w:tc>
          <w:tcPr>
            <w:tcW w:type="dxa" w:w="1392"/>
          </w:tcPr>
          <w:p>
            <w:pPr>
              <w:spacing w:after="40" w:before="40"/>
              <w:jc w:val="left"/>
            </w:pPr>
            <w:r>
              <w:rPr>
                <w:sz w:val="17"/>
              </w:rPr>
              <w:t>Kylas WhatsApp, Agentforce Voice</w:t>
            </w:r>
          </w:p>
        </w:tc>
      </w:tr>
      <w:tr>
        <w:tc>
          <w:tcPr>
            <w:tcW w:type="dxa" w:w="1392"/>
            <w:shd w:val="clear" w:color="auto" w:fill="F4F6F9"/>
          </w:tcPr>
          <w:p>
            <w:pPr>
              <w:spacing w:after="40" w:before="40"/>
              <w:jc w:val="left"/>
            </w:pPr>
            <w:r>
              <w:rPr>
                <w:sz w:val="17"/>
              </w:rPr>
              <w:t>P1-6</w:t>
            </w:r>
          </w:p>
        </w:tc>
        <w:tc>
          <w:tcPr>
            <w:tcW w:type="dxa" w:w="1392"/>
            <w:shd w:val="clear" w:color="auto" w:fill="F4F6F9"/>
          </w:tcPr>
          <w:p>
            <w:pPr>
              <w:spacing w:after="40" w:before="40"/>
              <w:jc w:val="left"/>
            </w:pPr>
            <w:r>
              <w:rPr>
                <w:sz w:val="17"/>
              </w:rPr>
              <w:t>Calendar is read-only and birthday-scoped</w:t>
            </w:r>
          </w:p>
        </w:tc>
        <w:tc>
          <w:tcPr>
            <w:tcW w:type="dxa" w:w="1392"/>
            <w:shd w:val="clear" w:color="auto" w:fill="F4F6F9"/>
          </w:tcPr>
          <w:p>
            <w:pPr>
              <w:spacing w:after="40" w:before="40"/>
              <w:jc w:val="left"/>
            </w:pPr>
            <w:r>
              <w:rPr>
                <w:rFonts w:ascii="Consolas" w:hAnsi="Consolas"/>
                <w:color w:val="9C274E"/>
                <w:sz w:val="16"/>
              </w:rPr>
              <w:t>endpoint.calendar.birthdays</w:t>
            </w:r>
            <w:r>
              <w:rPr>
                <w:sz w:val="17"/>
              </w:rPr>
              <w:t xml:space="preserve"> is the only calendar surface</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left"/>
            </w:pPr>
            <w:r>
              <w:rPr>
                <w:rFonts w:ascii="Consolas" w:hAnsi="Consolas"/>
                <w:color w:val="9C274E"/>
                <w:sz w:val="16"/>
              </w:rPr>
              <w:t>Meeting.*</w:t>
            </w:r>
            <w:r>
              <w:rPr>
                <w:sz w:val="17"/>
              </w:rPr>
              <w:t xml:space="preserve"> with availability lookup and booking</w:t>
            </w:r>
          </w:p>
        </w:tc>
        <w:tc>
          <w:tcPr>
            <w:tcW w:type="dxa" w:w="1392"/>
            <w:shd w:val="clear" w:color="auto" w:fill="F4F6F9"/>
          </w:tcPr>
          <w:p>
            <w:pPr>
              <w:spacing w:after="40" w:before="40"/>
              <w:jc w:val="left"/>
            </w:pPr>
            <w:r>
              <w:rPr>
                <w:sz w:val="17"/>
              </w:rPr>
              <w:t>Zoho booking, Attio meeting intelligence</w:t>
            </w:r>
          </w:p>
        </w:tc>
      </w:tr>
      <w:tr>
        <w:tc>
          <w:tcPr>
            <w:tcW w:type="dxa" w:w="1392"/>
          </w:tcPr>
          <w:p>
            <w:pPr>
              <w:spacing w:after="40" w:before="40"/>
              <w:jc w:val="left"/>
            </w:pPr>
            <w:r>
              <w:rPr>
                <w:sz w:val="17"/>
              </w:rPr>
              <w:t>P1-7</w:t>
            </w:r>
          </w:p>
        </w:tc>
        <w:tc>
          <w:tcPr>
            <w:tcW w:type="dxa" w:w="1392"/>
          </w:tcPr>
          <w:p>
            <w:pPr>
              <w:spacing w:after="40" w:before="40"/>
              <w:jc w:val="left"/>
            </w:pPr>
            <w:r>
              <w:rPr>
                <w:sz w:val="17"/>
              </w:rPr>
              <w:t>Call intelligence stops at draft notes</w:t>
            </w:r>
          </w:p>
        </w:tc>
        <w:tc>
          <w:tcPr>
            <w:tcW w:type="dxa" w:w="1392"/>
          </w:tcPr>
          <w:p>
            <w:pPr>
              <w:spacing w:after="40" w:before="40"/>
              <w:jc w:val="left"/>
            </w:pPr>
            <w:r>
              <w:rPr>
                <w:rFonts w:ascii="Consolas" w:hAnsi="Consolas"/>
                <w:color w:val="9C274E"/>
                <w:sz w:val="16"/>
              </w:rPr>
              <w:t>CallNoteDraft</w:t>
            </w:r>
            <w:r>
              <w:rPr>
                <w:sz w:val="17"/>
              </w:rPr>
              <w:t xml:space="preserve"> drafts and approves; no call log, recording, transcript or talk-time</w:t>
            </w:r>
          </w:p>
        </w:tc>
        <w:tc>
          <w:tcPr>
            <w:tcW w:type="dxa" w:w="1392"/>
          </w:tcPr>
          <w:p>
            <w:pPr>
              <w:spacing w:after="40" w:before="40"/>
              <w:jc w:val="center"/>
            </w:pPr>
            <w:r>
              <w:rPr>
                <w:sz w:val="17"/>
              </w:rPr>
              <w:t>L</w:t>
            </w:r>
          </w:p>
        </w:tc>
        <w:tc>
          <w:tcPr>
            <w:tcW w:type="dxa" w:w="1392"/>
          </w:tcPr>
          <w:p>
            <w:pPr>
              <w:spacing w:after="40" w:before="40"/>
              <w:jc w:val="center"/>
            </w:pPr>
            <w:r>
              <w:rPr>
                <w:sz w:val="17"/>
              </w:rPr>
              <w:t>—</w:t>
            </w:r>
          </w:p>
        </w:tc>
        <w:tc>
          <w:tcPr>
            <w:tcW w:type="dxa" w:w="1392"/>
          </w:tcPr>
          <w:p>
            <w:pPr>
              <w:spacing w:after="40" w:before="40"/>
              <w:jc w:val="left"/>
            </w:pPr>
            <w:r>
              <w:rPr>
                <w:rFonts w:ascii="Consolas" w:hAnsi="Consolas"/>
                <w:color w:val="9C274E"/>
                <w:sz w:val="16"/>
              </w:rPr>
              <w:t>Call.*</w:t>
            </w:r>
            <w:r>
              <w:rPr>
                <w:sz w:val="17"/>
              </w:rPr>
              <w:t xml:space="preserve"> with transcript storage and extraction into </w:t>
            </w:r>
            <w:r>
              <w:rPr>
                <w:rFonts w:ascii="Consolas" w:hAnsi="Consolas"/>
                <w:color w:val="9C274E"/>
                <w:sz w:val="16"/>
              </w:rPr>
              <w:t>Activity</w:t>
            </w:r>
          </w:p>
        </w:tc>
        <w:tc>
          <w:tcPr>
            <w:tcW w:type="dxa" w:w="1392"/>
          </w:tcPr>
          <w:p>
            <w:pPr>
              <w:spacing w:after="40" w:before="40"/>
              <w:jc w:val="left"/>
            </w:pPr>
            <w:r>
              <w:rPr>
                <w:sz w:val="17"/>
              </w:rPr>
              <w:t>Gong, Attio, Day.ai, Close</w:t>
            </w:r>
          </w:p>
        </w:tc>
      </w:tr>
      <w:tr>
        <w:tc>
          <w:tcPr>
            <w:tcW w:type="dxa" w:w="1392"/>
            <w:shd w:val="clear" w:color="auto" w:fill="F4F6F9"/>
          </w:tcPr>
          <w:p>
            <w:pPr>
              <w:spacing w:after="40" w:before="40"/>
              <w:jc w:val="left"/>
            </w:pPr>
            <w:r>
              <w:rPr>
                <w:sz w:val="17"/>
              </w:rPr>
              <w:t>P1-8</w:t>
            </w:r>
          </w:p>
        </w:tc>
        <w:tc>
          <w:tcPr>
            <w:tcW w:type="dxa" w:w="1392"/>
            <w:shd w:val="clear" w:color="auto" w:fill="F4F6F9"/>
          </w:tcPr>
          <w:p>
            <w:pPr>
              <w:spacing w:after="40" w:before="40"/>
              <w:jc w:val="left"/>
            </w:pPr>
            <w:r>
              <w:rPr>
                <w:sz w:val="17"/>
              </w:rPr>
              <w:t>Agent memory has no semantic retrieval</w:t>
            </w:r>
          </w:p>
        </w:tc>
        <w:tc>
          <w:tcPr>
            <w:tcW w:type="dxa" w:w="1392"/>
            <w:shd w:val="clear" w:color="auto" w:fill="F4F6F9"/>
          </w:tcPr>
          <w:p>
            <w:pPr>
              <w:spacing w:after="40" w:before="40"/>
              <w:jc w:val="left"/>
            </w:pPr>
            <w:r>
              <w:rPr>
                <w:rFonts w:ascii="Consolas" w:hAnsi="Consolas"/>
                <w:color w:val="9C274E"/>
                <w:sz w:val="16"/>
              </w:rPr>
              <w:t>AgentMemory.list</w:t>
            </w:r>
            <w:r>
              <w:rPr>
                <w:sz w:val="17"/>
              </w:rPr>
              <w:t xml:space="preserve"> filters on category, importance, source — no similarity search</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b/>
                <w:sz w:val="17"/>
              </w:rPr>
              <w:t>2</w:t>
            </w:r>
            <w:r>
              <w:rPr>
                <w:sz w:val="17"/>
              </w:rPr>
              <w:t xml:space="preserve"> v0</w:t>
            </w:r>
          </w:p>
        </w:tc>
        <w:tc>
          <w:tcPr>
            <w:tcW w:type="dxa" w:w="1392"/>
            <w:shd w:val="clear" w:color="auto" w:fill="F4F6F9"/>
          </w:tcPr>
          <w:p>
            <w:pPr>
              <w:spacing w:after="40" w:before="40"/>
              <w:jc w:val="left"/>
            </w:pPr>
            <w:r>
              <w:rPr>
                <w:rFonts w:ascii="Consolas" w:hAnsi="Consolas"/>
                <w:color w:val="9C274E"/>
                <w:sz w:val="16"/>
              </w:rPr>
              <w:t>AgentMemory.search(query, top_k, threshold)</w:t>
            </w:r>
            <w:r>
              <w:rPr>
                <w:sz w:val="17"/>
              </w:rPr>
              <w:t xml:space="preserve"> over embeddings</w:t>
            </w:r>
          </w:p>
        </w:tc>
        <w:tc>
          <w:tcPr>
            <w:tcW w:type="dxa" w:w="1392"/>
            <w:shd w:val="clear" w:color="auto" w:fill="F4F6F9"/>
          </w:tcPr>
          <w:p>
            <w:pPr>
              <w:spacing w:after="40" w:before="40"/>
              <w:jc w:val="left"/>
            </w:pPr>
            <w:r>
              <w:rPr>
                <w:sz w:val="17"/>
              </w:rPr>
              <w:t>Day.ai memory, Data Cloud grounding</w:t>
            </w:r>
          </w:p>
        </w:tc>
      </w:tr>
      <w:tr>
        <w:tc>
          <w:tcPr>
            <w:tcW w:type="dxa" w:w="1392"/>
          </w:tcPr>
          <w:p>
            <w:pPr>
              <w:spacing w:after="40" w:before="40"/>
              <w:jc w:val="left"/>
            </w:pPr>
            <w:r>
              <w:rPr>
                <w:sz w:val="17"/>
              </w:rPr>
              <w:t>P1-9</w:t>
            </w:r>
          </w:p>
        </w:tc>
        <w:tc>
          <w:tcPr>
            <w:tcW w:type="dxa" w:w="1392"/>
          </w:tcPr>
          <w:p>
            <w:pPr>
              <w:spacing w:after="40" w:before="40"/>
              <w:jc w:val="left"/>
            </w:pPr>
            <w:r>
              <w:rPr>
                <w:sz w:val="17"/>
              </w:rPr>
              <w:t>No knowledge base or grounding store</w:t>
            </w:r>
          </w:p>
        </w:tc>
        <w:tc>
          <w:tcPr>
            <w:tcW w:type="dxa" w:w="1392"/>
          </w:tcPr>
          <w:p>
            <w:pPr>
              <w:spacing w:after="40" w:before="40"/>
              <w:jc w:val="left"/>
            </w:pPr>
            <w:r>
              <w:rPr>
                <w:rFonts w:ascii="Consolas" w:hAnsi="Consolas"/>
                <w:color w:val="9C274E"/>
                <w:sz w:val="16"/>
              </w:rPr>
              <w:t>FileAttachment</w:t>
            </w:r>
            <w:r>
              <w:rPr>
                <w:sz w:val="17"/>
              </w:rPr>
              <w:t xml:space="preserve"> stores files; nothing chunks, indexes or retrieves them</w:t>
            </w:r>
          </w:p>
        </w:tc>
        <w:tc>
          <w:tcPr>
            <w:tcW w:type="dxa" w:w="1392"/>
          </w:tcPr>
          <w:p>
            <w:pPr>
              <w:spacing w:after="40" w:before="40"/>
              <w:jc w:val="center"/>
            </w:pPr>
            <w:r>
              <w:rPr>
                <w:sz w:val="17"/>
              </w:rPr>
              <w:t>L</w:t>
            </w:r>
          </w:p>
        </w:tc>
        <w:tc>
          <w:tcPr>
            <w:tcW w:type="dxa" w:w="1392"/>
          </w:tcPr>
          <w:p>
            <w:pPr>
              <w:spacing w:after="40" w:before="40"/>
              <w:jc w:val="center"/>
            </w:pPr>
            <w:r>
              <w:rPr>
                <w:sz w:val="17"/>
              </w:rPr>
              <w:t>—</w:t>
            </w:r>
          </w:p>
        </w:tc>
        <w:tc>
          <w:tcPr>
            <w:tcW w:type="dxa" w:w="1392"/>
          </w:tcPr>
          <w:p>
            <w:pPr>
              <w:spacing w:after="40" w:before="40"/>
              <w:jc w:val="left"/>
            </w:pPr>
            <w:r>
              <w:rPr>
                <w:rFonts w:ascii="Consolas" w:hAnsi="Consolas"/>
                <w:color w:val="9C274E"/>
                <w:sz w:val="16"/>
              </w:rPr>
              <w:t>Knowledge.ingest</w:t>
            </w:r>
            <w:r>
              <w:rPr>
                <w:sz w:val="17"/>
              </w:rPr>
              <w:t xml:space="preserve"> / </w:t>
            </w:r>
            <w:r>
              <w:rPr>
                <w:rFonts w:ascii="Consolas" w:hAnsi="Consolas"/>
                <w:color w:val="9C274E"/>
                <w:sz w:val="16"/>
              </w:rPr>
              <w:t>Knowledge.search</w:t>
            </w:r>
            <w:r>
              <w:rPr>
                <w:sz w:val="17"/>
              </w:rPr>
              <w:t xml:space="preserve"> with citation spans</w:t>
            </w:r>
          </w:p>
        </w:tc>
        <w:tc>
          <w:tcPr>
            <w:tcW w:type="dxa" w:w="1392"/>
          </w:tcPr>
          <w:p>
            <w:pPr>
              <w:spacing w:after="40" w:before="40"/>
              <w:jc w:val="left"/>
            </w:pPr>
            <w:r>
              <w:rPr>
                <w:sz w:val="17"/>
              </w:rPr>
              <w:t>Agentforce Intelligent Context, Copilot Studio</w:t>
            </w:r>
          </w:p>
        </w:tc>
      </w:tr>
      <w:tr>
        <w:tc>
          <w:tcPr>
            <w:tcW w:type="dxa" w:w="1392"/>
            <w:shd w:val="clear" w:color="auto" w:fill="F4F6F9"/>
          </w:tcPr>
          <w:p>
            <w:pPr>
              <w:spacing w:after="40" w:before="40"/>
              <w:jc w:val="left"/>
            </w:pPr>
            <w:r>
              <w:rPr>
                <w:sz w:val="17"/>
              </w:rPr>
              <w:t>P1-10</w:t>
            </w:r>
          </w:p>
        </w:tc>
        <w:tc>
          <w:tcPr>
            <w:tcW w:type="dxa" w:w="1392"/>
            <w:shd w:val="clear" w:color="auto" w:fill="F4F6F9"/>
          </w:tcPr>
          <w:p>
            <w:pPr>
              <w:spacing w:after="40" w:before="40"/>
              <w:jc w:val="left"/>
            </w:pPr>
            <w:r>
              <w:rPr>
                <w:sz w:val="17"/>
              </w:rPr>
              <w:t>No evaluation or regression harness</w:t>
            </w:r>
          </w:p>
        </w:tc>
        <w:tc>
          <w:tcPr>
            <w:tcW w:type="dxa" w:w="1392"/>
            <w:shd w:val="clear" w:color="auto" w:fill="F4F6F9"/>
          </w:tcPr>
          <w:p>
            <w:pPr>
              <w:spacing w:after="40" w:before="40"/>
              <w:jc w:val="left"/>
            </w:pPr>
            <w:r>
              <w:rPr>
                <w:rFonts w:ascii="Consolas" w:hAnsi="Consolas"/>
                <w:color w:val="9C274E"/>
                <w:sz w:val="16"/>
              </w:rPr>
              <w:t>skill_sandbox</w:t>
            </w:r>
            <w:r>
              <w:rPr>
                <w:sz w:val="17"/>
              </w:rPr>
              <w:t xml:space="preserve"> runs a skill ad hoc; no golden datasets, scored runs or pre-deploy gates</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left"/>
            </w:pPr>
            <w:r>
              <w:rPr>
                <w:rFonts w:ascii="Consolas" w:hAnsi="Consolas"/>
                <w:color w:val="9C274E"/>
                <w:sz w:val="16"/>
              </w:rPr>
              <w:t>Eval.dataset</w:t>
            </w:r>
            <w:r>
              <w:rPr>
                <w:sz w:val="17"/>
              </w:rPr>
              <w:t xml:space="preserve">, </w:t>
            </w:r>
            <w:r>
              <w:rPr>
                <w:rFonts w:ascii="Consolas" w:hAnsi="Consolas"/>
                <w:color w:val="9C274E"/>
                <w:sz w:val="16"/>
              </w:rPr>
              <w:t>Eval.run</w:t>
            </w:r>
            <w:r>
              <w:rPr>
                <w:sz w:val="17"/>
              </w:rPr>
              <w:t xml:space="preserve">, </w:t>
            </w:r>
            <w:r>
              <w:rPr>
                <w:rFonts w:ascii="Consolas" w:hAnsi="Consolas"/>
                <w:color w:val="9C274E"/>
                <w:sz w:val="16"/>
              </w:rPr>
              <w:t>Eval.compare</w:t>
            </w:r>
            <w:r>
              <w:rPr>
                <w:sz w:val="17"/>
              </w:rPr>
              <w:t xml:space="preserve"> wired into skill publish</w:t>
            </w:r>
          </w:p>
        </w:tc>
        <w:tc>
          <w:tcPr>
            <w:tcW w:type="dxa" w:w="1392"/>
            <w:shd w:val="clear" w:color="auto" w:fill="F4F6F9"/>
          </w:tcPr>
          <w:p>
            <w:pPr>
              <w:spacing w:after="40" w:before="40"/>
              <w:jc w:val="left"/>
            </w:pPr>
            <w:r>
              <w:rPr>
                <w:sz w:val="17"/>
              </w:rPr>
              <w:t>Agentforce Testing Center</w:t>
            </w:r>
          </w:p>
        </w:tc>
      </w:tr>
      <w:tr>
        <w:tc>
          <w:tcPr>
            <w:tcW w:type="dxa" w:w="1392"/>
          </w:tcPr>
          <w:p>
            <w:pPr>
              <w:spacing w:after="40" w:before="40"/>
              <w:jc w:val="left"/>
            </w:pPr>
            <w:r>
              <w:rPr>
                <w:sz w:val="17"/>
              </w:rPr>
              <w:t>P1-11</w:t>
            </w:r>
          </w:p>
        </w:tc>
        <w:tc>
          <w:tcPr>
            <w:tcW w:type="dxa" w:w="1392"/>
          </w:tcPr>
          <w:p>
            <w:pPr>
              <w:spacing w:after="40" w:before="40"/>
              <w:jc w:val="left"/>
            </w:pPr>
            <w:r>
              <w:rPr>
                <w:sz w:val="17"/>
              </w:rPr>
              <w:t>Goals and pipelines cannot roll up</w:t>
            </w:r>
          </w:p>
        </w:tc>
        <w:tc>
          <w:tcPr>
            <w:tcW w:type="dxa" w:w="1392"/>
          </w:tcPr>
          <w:p>
            <w:pPr>
              <w:spacing w:after="40" w:before="40"/>
              <w:jc w:val="left"/>
            </w:pPr>
            <w:r>
              <w:rPr>
                <w:rFonts w:ascii="Consolas" w:hAnsi="Consolas"/>
                <w:color w:val="9C274E"/>
                <w:sz w:val="16"/>
              </w:rPr>
              <w:t>Goal</w:t>
            </w:r>
            <w:r>
              <w:rPr>
                <w:sz w:val="17"/>
              </w:rPr>
              <w:t xml:space="preserve"> and </w:t>
            </w:r>
            <w:r>
              <w:rPr>
                <w:rFonts w:ascii="Consolas" w:hAnsi="Consolas"/>
                <w:color w:val="9C274E"/>
                <w:sz w:val="16"/>
              </w:rPr>
              <w:t>Pipeline</w:t>
            </w:r>
            <w:r>
              <w:rPr>
                <w:sz w:val="17"/>
              </w:rPr>
              <w:t xml:space="preserve"> are read-only; no forecast category, quota or territory</w:t>
            </w:r>
          </w:p>
        </w:tc>
        <w:tc>
          <w:tcPr>
            <w:tcW w:type="dxa" w:w="1392"/>
          </w:tcPr>
          <w:p>
            <w:pPr>
              <w:spacing w:after="40" w:before="40"/>
              <w:jc w:val="center"/>
            </w:pPr>
            <w:r>
              <w:rPr>
                <w:sz w:val="17"/>
              </w:rPr>
              <w:t>M</w:t>
            </w:r>
          </w:p>
        </w:tc>
        <w:tc>
          <w:tcPr>
            <w:tcW w:type="dxa" w:w="1392"/>
          </w:tcPr>
          <w:p>
            <w:pPr>
              <w:spacing w:after="40" w:before="40"/>
              <w:jc w:val="center"/>
            </w:pPr>
            <w:r>
              <w:rPr>
                <w:sz w:val="17"/>
              </w:rPr>
              <w:t>—</w:t>
            </w:r>
          </w:p>
        </w:tc>
        <w:tc>
          <w:tcPr>
            <w:tcW w:type="dxa" w:w="1392"/>
          </w:tcPr>
          <w:p>
            <w:pPr>
              <w:spacing w:after="40" w:before="40"/>
              <w:jc w:val="left"/>
            </w:pPr>
            <w:r>
              <w:rPr>
                <w:rFonts w:ascii="Consolas" w:hAnsi="Consolas"/>
                <w:color w:val="9C274E"/>
                <w:sz w:val="16"/>
              </w:rPr>
              <w:t>Forecast.rollup(period, owner_tree)</w:t>
            </w:r>
            <w:r>
              <w:rPr>
                <w:sz w:val="17"/>
              </w:rPr>
              <w:t xml:space="preserve">, </w:t>
            </w:r>
            <w:r>
              <w:rPr>
                <w:rFonts w:ascii="Consolas" w:hAnsi="Consolas"/>
                <w:color w:val="9C274E"/>
                <w:sz w:val="16"/>
              </w:rPr>
              <w:t>Quota.*</w:t>
            </w:r>
            <w:r>
              <w:rPr>
                <w:sz w:val="17"/>
              </w:rPr>
              <w:t xml:space="preserve">, </w:t>
            </w:r>
            <w:r>
              <w:rPr>
                <w:rFonts w:ascii="Consolas" w:hAnsi="Consolas"/>
                <w:color w:val="9C274E"/>
                <w:sz w:val="16"/>
              </w:rPr>
              <w:t>Territory.*</w:t>
            </w:r>
          </w:p>
        </w:tc>
        <w:tc>
          <w:tcPr>
            <w:tcW w:type="dxa" w:w="1392"/>
          </w:tcPr>
          <w:p>
            <w:pPr>
              <w:spacing w:after="40" w:before="40"/>
              <w:jc w:val="left"/>
            </w:pPr>
            <w:r>
              <w:rPr>
                <w:sz w:val="17"/>
              </w:rPr>
              <w:t>Zoho Enterprise forecasting, Clari</w:t>
            </w:r>
          </w:p>
        </w:tc>
      </w:tr>
      <w:tr>
        <w:tc>
          <w:tcPr>
            <w:tcW w:type="dxa" w:w="1392"/>
            <w:shd w:val="clear" w:color="auto" w:fill="F4F6F9"/>
          </w:tcPr>
          <w:p>
            <w:pPr>
              <w:spacing w:after="40" w:before="40"/>
              <w:jc w:val="left"/>
            </w:pPr>
            <w:r>
              <w:rPr>
                <w:sz w:val="17"/>
              </w:rPr>
              <w:t>P1-12</w:t>
            </w:r>
          </w:p>
        </w:tc>
        <w:tc>
          <w:tcPr>
            <w:tcW w:type="dxa" w:w="1392"/>
            <w:shd w:val="clear" w:color="auto" w:fill="F4F6F9"/>
          </w:tcPr>
          <w:p>
            <w:pPr>
              <w:spacing w:after="40" w:before="40"/>
              <w:jc w:val="left"/>
            </w:pPr>
            <w:r>
              <w:rPr>
                <w:sz w:val="17"/>
              </w:rPr>
              <w:t>No scoring or next-best-action</w:t>
            </w:r>
          </w:p>
        </w:tc>
        <w:tc>
          <w:tcPr>
            <w:tcW w:type="dxa" w:w="1392"/>
            <w:shd w:val="clear" w:color="auto" w:fill="F4F6F9"/>
          </w:tcPr>
          <w:p>
            <w:pPr>
              <w:spacing w:after="40" w:before="40"/>
              <w:jc w:val="left"/>
            </w:pPr>
            <w:r>
              <w:rPr>
                <w:rFonts w:ascii="Consolas" w:hAnsi="Consolas"/>
                <w:color w:val="9C274E"/>
                <w:sz w:val="16"/>
              </w:rPr>
              <w:t>Lead.value</w:t>
            </w:r>
            <w:r>
              <w:rPr>
                <w:sz w:val="17"/>
              </w:rPr>
              <w:t xml:space="preserve"> and </w:t>
            </w:r>
            <w:r>
              <w:rPr>
                <w:rFonts w:ascii="Consolas" w:hAnsi="Consolas"/>
                <w:color w:val="9C274E"/>
                <w:sz w:val="16"/>
              </w:rPr>
              <w:t>Deal.probability</w:t>
            </w:r>
            <w:r>
              <w:rPr>
                <w:sz w:val="17"/>
              </w:rPr>
              <w:t xml:space="preserve"> are stored inputs, not model outputs</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left"/>
            </w:pPr>
            <w:r>
              <w:rPr>
                <w:rFonts w:ascii="Consolas" w:hAnsi="Consolas"/>
                <w:color w:val="9C274E"/>
                <w:sz w:val="16"/>
              </w:rPr>
              <w:t>Lead.score</w:t>
            </w:r>
            <w:r>
              <w:rPr>
                <w:sz w:val="17"/>
              </w:rPr>
              <w:t xml:space="preserve">, </w:t>
            </w:r>
            <w:r>
              <w:rPr>
                <w:rFonts w:ascii="Consolas" w:hAnsi="Consolas"/>
                <w:color w:val="9C274E"/>
                <w:sz w:val="16"/>
              </w:rPr>
              <w:t>Deal.risk</w:t>
            </w:r>
            <w:r>
              <w:rPr>
                <w:sz w:val="17"/>
              </w:rPr>
              <w:t xml:space="preserve">, </w:t>
            </w:r>
            <w:r>
              <w:rPr>
                <w:rFonts w:ascii="Consolas" w:hAnsi="Consolas"/>
                <w:color w:val="9C274E"/>
                <w:sz w:val="16"/>
              </w:rPr>
              <w:t>NextAction.suggest</w:t>
            </w:r>
            <w:r>
              <w:rPr>
                <w:sz w:val="17"/>
              </w:rPr>
              <w:t xml:space="preserve"> with explanation</w:t>
            </w:r>
          </w:p>
        </w:tc>
        <w:tc>
          <w:tcPr>
            <w:tcW w:type="dxa" w:w="1392"/>
            <w:shd w:val="clear" w:color="auto" w:fill="F4F6F9"/>
          </w:tcPr>
          <w:p>
            <w:pPr>
              <w:spacing w:after="40" w:before="40"/>
              <w:jc w:val="left"/>
            </w:pPr>
            <w:r>
              <w:rPr>
                <w:sz w:val="17"/>
              </w:rPr>
              <w:t>Zia, Freddy 0–99 scoring, Breeze</w:t>
            </w:r>
          </w:p>
        </w:tc>
      </w:tr>
      <w:tr>
        <w:tc>
          <w:tcPr>
            <w:tcW w:type="dxa" w:w="1392"/>
          </w:tcPr>
          <w:p>
            <w:pPr>
              <w:spacing w:after="40" w:before="40"/>
              <w:jc w:val="left"/>
            </w:pPr>
            <w:r>
              <w:rPr>
                <w:sz w:val="17"/>
              </w:rPr>
              <w:t>P1-13</w:t>
            </w:r>
          </w:p>
        </w:tc>
        <w:tc>
          <w:tcPr>
            <w:tcW w:type="dxa" w:w="1392"/>
          </w:tcPr>
          <w:p>
            <w:pPr>
              <w:spacing w:after="40" w:before="40"/>
              <w:jc w:val="left"/>
            </w:pPr>
            <w:r>
              <w:rPr>
                <w:sz w:val="17"/>
              </w:rPr>
              <w:t>No dedupe, merge or enrichment</w:t>
            </w:r>
          </w:p>
        </w:tc>
        <w:tc>
          <w:tcPr>
            <w:tcW w:type="dxa" w:w="1392"/>
          </w:tcPr>
          <w:p>
            <w:pPr>
              <w:spacing w:after="40" w:before="40"/>
              <w:jc w:val="left"/>
            </w:pPr>
            <w:r>
              <w:rPr>
                <w:rFonts w:ascii="Consolas" w:hAnsi="Consolas"/>
                <w:color w:val="9C274E"/>
                <w:sz w:val="16"/>
              </w:rPr>
              <w:t>Party.create</w:t>
            </w:r>
            <w:r>
              <w:rPr>
                <w:sz w:val="17"/>
              </w:rPr>
              <w:t xml:space="preserve"> has no duplicate guard; nothing enriches from an external source</w:t>
            </w:r>
          </w:p>
        </w:tc>
        <w:tc>
          <w:tcPr>
            <w:tcW w:type="dxa" w:w="1392"/>
          </w:tcPr>
          <w:p>
            <w:pPr>
              <w:spacing w:after="40" w:before="40"/>
              <w:jc w:val="center"/>
            </w:pPr>
            <w:r>
              <w:rPr>
                <w:sz w:val="17"/>
              </w:rPr>
              <w:t>M</w:t>
            </w:r>
          </w:p>
        </w:tc>
        <w:tc>
          <w:tcPr>
            <w:tcW w:type="dxa" w:w="1392"/>
          </w:tcPr>
          <w:p>
            <w:pPr>
              <w:spacing w:after="40" w:before="40"/>
              <w:jc w:val="center"/>
            </w:pPr>
            <w:r>
              <w:rPr>
                <w:b/>
                <w:sz w:val="17"/>
              </w:rPr>
              <w:t>1</w:t>
            </w:r>
            <w:r>
              <w:rPr>
                <w:sz w:val="17"/>
              </w:rPr>
              <w:t xml:space="preserve"> v0</w:t>
            </w:r>
          </w:p>
        </w:tc>
        <w:tc>
          <w:tcPr>
            <w:tcW w:type="dxa" w:w="1392"/>
          </w:tcPr>
          <w:p>
            <w:pPr>
              <w:spacing w:after="40" w:before="40"/>
              <w:jc w:val="left"/>
            </w:pPr>
            <w:r>
              <w:rPr>
                <w:rFonts w:ascii="Consolas" w:hAnsi="Consolas"/>
                <w:color w:val="9C274E"/>
                <w:sz w:val="16"/>
              </w:rPr>
              <w:t>Party.find_duplicates</w:t>
            </w:r>
            <w:r>
              <w:rPr>
                <w:sz w:val="17"/>
              </w:rPr>
              <w:t xml:space="preserve">, </w:t>
            </w:r>
            <w:r>
              <w:rPr>
                <w:rFonts w:ascii="Consolas" w:hAnsi="Consolas"/>
                <w:color w:val="9C274E"/>
                <w:sz w:val="16"/>
              </w:rPr>
              <w:t>Party.merge</w:t>
            </w:r>
            <w:r>
              <w:rPr>
                <w:sz w:val="17"/>
              </w:rPr>
              <w:t xml:space="preserve">, </w:t>
            </w:r>
            <w:r>
              <w:rPr>
                <w:rFonts w:ascii="Consolas" w:hAnsi="Consolas"/>
                <w:color w:val="9C274E"/>
                <w:sz w:val="16"/>
              </w:rPr>
              <w:t>Enrichment.resolve</w:t>
            </w:r>
          </w:p>
        </w:tc>
        <w:tc>
          <w:tcPr>
            <w:tcW w:type="dxa" w:w="1392"/>
          </w:tcPr>
          <w:p>
            <w:pPr>
              <w:spacing w:after="40" w:before="40"/>
              <w:jc w:val="left"/>
            </w:pPr>
            <w:r>
              <w:rPr>
                <w:sz w:val="17"/>
              </w:rPr>
              <w:t>Clay, Breeze Intelligence, Attio</w:t>
            </w:r>
          </w:p>
        </w:tc>
      </w:tr>
      <w:tr>
        <w:tc>
          <w:tcPr>
            <w:tcW w:type="dxa" w:w="1392"/>
            <w:shd w:val="clear" w:color="auto" w:fill="F4F6F9"/>
          </w:tcPr>
          <w:p>
            <w:pPr>
              <w:spacing w:after="40" w:before="40"/>
              <w:jc w:val="left"/>
            </w:pPr>
            <w:r>
              <w:rPr>
                <w:sz w:val="17"/>
              </w:rPr>
              <w:t>P1-14</w:t>
            </w:r>
          </w:p>
        </w:tc>
        <w:tc>
          <w:tcPr>
            <w:tcW w:type="dxa" w:w="1392"/>
            <w:shd w:val="clear" w:color="auto" w:fill="F4F6F9"/>
          </w:tcPr>
          <w:p>
            <w:pPr>
              <w:spacing w:after="40" w:before="40"/>
              <w:jc w:val="left"/>
            </w:pPr>
            <w:r>
              <w:rPr>
                <w:sz w:val="17"/>
              </w:rPr>
              <w:t>Relationship edges are declared, never observed</w:t>
            </w:r>
          </w:p>
        </w:tc>
        <w:tc>
          <w:tcPr>
            <w:tcW w:type="dxa" w:w="1392"/>
            <w:shd w:val="clear" w:color="auto" w:fill="F4F6F9"/>
          </w:tcPr>
          <w:p>
            <w:pPr>
              <w:spacing w:after="40" w:before="40"/>
              <w:jc w:val="left"/>
            </w:pPr>
            <w:r>
              <w:rPr>
                <w:rFonts w:ascii="Consolas" w:hAnsi="Consolas"/>
                <w:color w:val="9C274E"/>
                <w:sz w:val="16"/>
              </w:rPr>
              <w:t>PartyRelationship</w:t>
            </w:r>
            <w:r>
              <w:rPr>
                <w:sz w:val="17"/>
              </w:rPr>
              <w:t xml:space="preserve"> has full CRUD over 16 typed edges, but nothing derives one from mentions or co-attendance</w:t>
            </w:r>
          </w:p>
        </w:tc>
        <w:tc>
          <w:tcPr>
            <w:tcW w:type="dxa" w:w="1392"/>
            <w:shd w:val="clear" w:color="auto" w:fill="F4F6F9"/>
          </w:tcPr>
          <w:p>
            <w:pPr>
              <w:spacing w:after="40" w:before="40"/>
              <w:jc w:val="center"/>
            </w:pPr>
            <w:r>
              <w:rPr>
                <w:sz w:val="17"/>
              </w:rPr>
              <w:t>L</w:t>
            </w:r>
          </w:p>
        </w:tc>
        <w:tc>
          <w:tcPr>
            <w:tcW w:type="dxa" w:w="1392"/>
            <w:shd w:val="clear" w:color="auto" w:fill="F4F6F9"/>
          </w:tcPr>
          <w:p>
            <w:pPr>
              <w:spacing w:after="40" w:before="40"/>
              <w:jc w:val="center"/>
            </w:pPr>
            <w:r>
              <w:rPr>
                <w:b/>
                <w:sz w:val="17"/>
              </w:rPr>
              <w:t>2</w:t>
            </w:r>
            <w:r>
              <w:rPr>
                <w:sz w:val="17"/>
              </w:rPr>
              <w:t xml:space="preserve"> v0</w:t>
            </w:r>
          </w:p>
        </w:tc>
        <w:tc>
          <w:tcPr>
            <w:tcW w:type="dxa" w:w="1392"/>
            <w:shd w:val="clear" w:color="auto" w:fill="F4F6F9"/>
          </w:tcPr>
          <w:p>
            <w:pPr>
              <w:spacing w:after="40" w:before="40"/>
              <w:jc w:val="left"/>
            </w:pPr>
            <w:r>
              <w:rPr>
                <w:rFonts w:ascii="Consolas" w:hAnsi="Consolas"/>
                <w:color w:val="9C274E"/>
                <w:sz w:val="16"/>
              </w:rPr>
              <w:t>PartyMention</w:t>
            </w:r>
            <w:r>
              <w:rPr>
                <w:sz w:val="17"/>
              </w:rPr>
              <w:t xml:space="preserve"> capture, rollup to proposed edges with </w:t>
            </w:r>
            <w:r>
              <w:rPr>
                <w:rFonts w:ascii="Consolas" w:hAnsi="Consolas"/>
                <w:color w:val="9C274E"/>
                <w:sz w:val="16"/>
              </w:rPr>
              <w:t>origin</w:t>
            </w:r>
            <w:r>
              <w:rPr>
                <w:sz w:val="17"/>
              </w:rPr>
              <w:t xml:space="preserve">, </w:t>
            </w:r>
            <w:r>
              <w:rPr>
                <w:rFonts w:ascii="Consolas" w:hAnsi="Consolas"/>
                <w:color w:val="9C274E"/>
                <w:sz w:val="16"/>
              </w:rPr>
              <w:t>strength</w:t>
            </w:r>
            <w:r>
              <w:rPr>
                <w:sz w:val="17"/>
              </w:rPr>
              <w:t xml:space="preserve">, </w:t>
            </w:r>
            <w:r>
              <w:rPr>
                <w:rFonts w:ascii="Consolas" w:hAnsi="Consolas"/>
                <w:color w:val="9C274E"/>
                <w:sz w:val="16"/>
              </w:rPr>
              <w:t>confidence</w:t>
            </w:r>
          </w:p>
        </w:tc>
        <w:tc>
          <w:tcPr>
            <w:tcW w:type="dxa" w:w="1392"/>
            <w:shd w:val="clear" w:color="auto" w:fill="F4F6F9"/>
          </w:tcPr>
          <w:p>
            <w:pPr>
              <w:spacing w:after="40" w:before="40"/>
              <w:jc w:val="left"/>
            </w:pPr>
            <w:r>
              <w:rPr>
                <w:sz w:val="17"/>
              </w:rPr>
              <w:t>Day.ai, Attio research assistant — nobody as a graph</w:t>
            </w:r>
          </w:p>
        </w:tc>
      </w:tr>
      <w:tr>
        <w:tc>
          <w:tcPr>
            <w:tcW w:type="dxa" w:w="1392"/>
          </w:tcPr>
          <w:p>
            <w:pPr>
              <w:spacing w:after="40" w:before="40"/>
              <w:jc w:val="left"/>
            </w:pPr>
            <w:r>
              <w:rPr>
                <w:sz w:val="17"/>
              </w:rPr>
              <w:t>P1-15</w:t>
            </w:r>
          </w:p>
        </w:tc>
        <w:tc>
          <w:tcPr>
            <w:tcW w:type="dxa" w:w="1392"/>
          </w:tcPr>
          <w:p>
            <w:pPr>
              <w:spacing w:after="40" w:before="40"/>
              <w:jc w:val="left"/>
            </w:pPr>
            <w:r>
              <w:rPr>
                <w:sz w:val="17"/>
              </w:rPr>
              <w:t>The edge table cannot be traversed</w:t>
            </w:r>
          </w:p>
        </w:tc>
        <w:tc>
          <w:tcPr>
            <w:tcW w:type="dxa" w:w="1392"/>
          </w:tcPr>
          <w:p>
            <w:pPr>
              <w:spacing w:after="40" w:before="40"/>
              <w:jc w:val="left"/>
            </w:pPr>
            <w:r>
              <w:rPr>
                <w:rFonts w:ascii="Consolas" w:hAnsi="Consolas"/>
                <w:color w:val="9C274E"/>
                <w:sz w:val="16"/>
              </w:rPr>
              <w:t>PartyRelationship.list</w:t>
            </w:r>
            <w:r>
              <w:rPr>
                <w:sz w:val="17"/>
              </w:rPr>
              <w:t xml:space="preserve"> filters </w:t>
            </w:r>
            <w:r>
              <w:rPr>
                <w:rFonts w:ascii="Consolas" w:hAnsi="Consolas"/>
                <w:color w:val="9C274E"/>
                <w:sz w:val="16"/>
              </w:rPr>
              <w:t>from_party_id</w:t>
            </w:r>
            <w:r>
              <w:rPr>
                <w:sz w:val="17"/>
              </w:rPr>
              <w:t xml:space="preserve"> or </w:t>
            </w:r>
            <w:r>
              <w:rPr>
                <w:rFonts w:ascii="Consolas" w:hAnsi="Consolas"/>
                <w:color w:val="9C274E"/>
                <w:sz w:val="16"/>
              </w:rPr>
              <w:t>to_party_id</w:t>
            </w:r>
            <w:r>
              <w:rPr>
                <w:sz w:val="17"/>
              </w:rPr>
              <w:t xml:space="preserve"> exactly: one hop, one direction</w:t>
            </w:r>
          </w:p>
        </w:tc>
        <w:tc>
          <w:tcPr>
            <w:tcW w:type="dxa" w:w="1392"/>
          </w:tcPr>
          <w:p>
            <w:pPr>
              <w:spacing w:after="40" w:before="40"/>
              <w:jc w:val="center"/>
            </w:pPr>
            <w:r>
              <w:rPr>
                <w:sz w:val="17"/>
              </w:rPr>
              <w:t>M</w:t>
            </w:r>
          </w:p>
        </w:tc>
        <w:tc>
          <w:tcPr>
            <w:tcW w:type="dxa" w:w="1392"/>
          </w:tcPr>
          <w:p>
            <w:pPr>
              <w:spacing w:after="40" w:before="40"/>
              <w:jc w:val="center"/>
            </w:pPr>
            <w:r>
              <w:rPr>
                <w:b/>
                <w:sz w:val="17"/>
              </w:rPr>
              <w:t>3</w:t>
            </w:r>
            <w:r>
              <w:rPr>
                <w:sz w:val="17"/>
              </w:rPr>
              <w:t xml:space="preserve"> v0</w:t>
            </w:r>
          </w:p>
        </w:tc>
        <w:tc>
          <w:tcPr>
            <w:tcW w:type="dxa" w:w="1392"/>
          </w:tcPr>
          <w:p>
            <w:pPr>
              <w:spacing w:after="40" w:before="40"/>
              <w:jc w:val="left"/>
            </w:pPr>
            <w:r>
              <w:rPr>
                <w:rFonts w:ascii="Consolas" w:hAnsi="Consolas"/>
                <w:color w:val="9C274E"/>
                <w:sz w:val="16"/>
              </w:rPr>
              <w:t>Relationship.neighbors</w:t>
            </w:r>
            <w:r>
              <w:rPr>
                <w:sz w:val="17"/>
              </w:rPr>
              <w:t xml:space="preserve">, </w:t>
            </w:r>
            <w:r>
              <w:rPr>
                <w:rFonts w:ascii="Consolas" w:hAnsi="Consolas"/>
                <w:color w:val="9C274E"/>
                <w:sz w:val="16"/>
              </w:rPr>
              <w:t>.path</w:t>
            </w:r>
            <w:r>
              <w:rPr>
                <w:sz w:val="17"/>
              </w:rPr>
              <w:t xml:space="preserve">, </w:t>
            </w:r>
            <w:r>
              <w:rPr>
                <w:rFonts w:ascii="Consolas" w:hAnsi="Consolas"/>
                <w:color w:val="9C274E"/>
                <w:sz w:val="16"/>
              </w:rPr>
              <w:t>.subgraph</w:t>
            </w:r>
            <w:r>
              <w:rPr>
                <w:sz w:val="17"/>
              </w:rPr>
              <w:t xml:space="preserve">, </w:t>
            </w:r>
            <w:r>
              <w:rPr>
                <w:rFonts w:ascii="Consolas" w:hAnsi="Consolas"/>
                <w:color w:val="9C274E"/>
                <w:sz w:val="16"/>
              </w:rPr>
              <w:t>.influence(deal_id)</w:t>
            </w:r>
          </w:p>
        </w:tc>
        <w:tc>
          <w:tcPr>
            <w:tcW w:type="dxa" w:w="1392"/>
          </w:tcPr>
          <w:p>
            <w:pPr>
              <w:spacing w:after="40" w:before="40"/>
              <w:jc w:val="left"/>
            </w:pPr>
            <w:r>
              <w:rPr>
                <w:sz w:val="17"/>
              </w:rPr>
              <w:t>LinkedIn Sales Navigator TeamLink</w:t>
            </w:r>
          </w:p>
        </w:tc>
      </w:tr>
      <w:tr>
        <w:tc>
          <w:tcPr>
            <w:tcW w:type="dxa" w:w="1392"/>
            <w:shd w:val="clear" w:color="auto" w:fill="F4F6F9"/>
          </w:tcPr>
          <w:p>
            <w:pPr>
              <w:spacing w:after="40" w:before="40"/>
              <w:jc w:val="left"/>
            </w:pPr>
            <w:r>
              <w:rPr>
                <w:sz w:val="17"/>
              </w:rPr>
              <w:t>P1-16</w:t>
            </w:r>
          </w:p>
        </w:tc>
        <w:tc>
          <w:tcPr>
            <w:tcW w:type="dxa" w:w="1392"/>
            <w:shd w:val="clear" w:color="auto" w:fill="F4F6F9"/>
          </w:tcPr>
          <w:p>
            <w:pPr>
              <w:spacing w:after="40" w:before="40"/>
              <w:jc w:val="left"/>
            </w:pPr>
            <w:r>
              <w:rPr>
                <w:sz w:val="17"/>
              </w:rPr>
              <w:t>Password login issues the bearer token</w:t>
            </w:r>
          </w:p>
        </w:tc>
        <w:tc>
          <w:tcPr>
            <w:tcW w:type="dxa" w:w="1392"/>
            <w:shd w:val="clear" w:color="auto" w:fill="F4F6F9"/>
          </w:tcPr>
          <w:p>
            <w:pPr>
              <w:spacing w:after="40" w:before="40"/>
              <w:jc w:val="left"/>
            </w:pPr>
            <w:r>
              <w:rPr>
                <w:rFonts w:ascii="Consolas" w:hAnsi="Consolas"/>
                <w:color w:val="9C274E"/>
                <w:sz w:val="16"/>
              </w:rPr>
              <w:t>/api/auth/login</w:t>
            </w:r>
            <w:r>
              <w:rPr>
                <w:sz w:val="17"/>
              </w:rPr>
              <w:t xml:space="preserve"> trades email and password for a 43-character bearer; no OAuth or scoped consent</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left"/>
            </w:pPr>
            <w:r>
              <w:rPr>
                <w:sz w:val="17"/>
              </w:rPr>
              <w:t>OAuth 2.1 with per-scope consent and write-confirmation hints</w:t>
            </w:r>
          </w:p>
        </w:tc>
        <w:tc>
          <w:tcPr>
            <w:tcW w:type="dxa" w:w="1392"/>
            <w:shd w:val="clear" w:color="auto" w:fill="F4F6F9"/>
          </w:tcPr>
          <w:p>
            <w:pPr>
              <w:spacing w:after="40" w:before="40"/>
              <w:jc w:val="left"/>
            </w:pPr>
            <w:r>
              <w:rPr>
                <w:sz w:val="17"/>
              </w:rPr>
              <w:t>Attio ships OAuth + write confirmation</w:t>
            </w:r>
          </w:p>
        </w:tc>
      </w:tr>
      <w:tr>
        <w:tc>
          <w:tcPr>
            <w:tcW w:type="dxa" w:w="1392"/>
          </w:tcPr>
          <w:p>
            <w:pPr>
              <w:spacing w:after="40" w:before="40"/>
              <w:jc w:val="left"/>
            </w:pPr>
            <w:r>
              <w:rPr>
                <w:sz w:val="17"/>
              </w:rPr>
              <w:t>P1-17</w:t>
            </w:r>
          </w:p>
        </w:tc>
        <w:tc>
          <w:tcPr>
            <w:tcW w:type="dxa" w:w="1392"/>
          </w:tcPr>
          <w:p>
            <w:pPr>
              <w:spacing w:after="40" w:before="40"/>
              <w:jc w:val="left"/>
            </w:pPr>
            <w:r>
              <w:rPr>
                <w:sz w:val="17"/>
              </w:rPr>
              <w:t>No change subscriptions</w:t>
            </w:r>
          </w:p>
        </w:tc>
        <w:tc>
          <w:tcPr>
            <w:tcW w:type="dxa" w:w="1392"/>
          </w:tcPr>
          <w:p>
            <w:pPr>
              <w:spacing w:after="40" w:before="40"/>
              <w:jc w:val="left"/>
            </w:pPr>
            <w:r>
              <w:rPr>
                <w:sz w:val="17"/>
              </w:rPr>
              <w:t xml:space="preserve">Agents must poll; no webhook, resource subscription or </w:t>
            </w:r>
            <w:r>
              <w:rPr>
                <w:rFonts w:ascii="Consolas" w:hAnsi="Consolas"/>
                <w:color w:val="9C274E"/>
                <w:sz w:val="16"/>
              </w:rPr>
              <w:t>listChanged</w:t>
            </w:r>
            <w:r>
              <w:rPr>
                <w:sz w:val="17"/>
              </w:rPr>
              <w:t xml:space="preserve"> notification</w:t>
            </w:r>
          </w:p>
        </w:tc>
        <w:tc>
          <w:tcPr>
            <w:tcW w:type="dxa" w:w="1392"/>
          </w:tcPr>
          <w:p>
            <w:pPr>
              <w:spacing w:after="40" w:before="40"/>
              <w:jc w:val="center"/>
            </w:pPr>
            <w:r>
              <w:rPr>
                <w:sz w:val="17"/>
              </w:rPr>
              <w:t>M</w:t>
            </w:r>
          </w:p>
        </w:tc>
        <w:tc>
          <w:tcPr>
            <w:tcW w:type="dxa" w:w="1392"/>
          </w:tcPr>
          <w:p>
            <w:pPr>
              <w:spacing w:after="40" w:before="40"/>
              <w:jc w:val="center"/>
            </w:pPr>
            <w:r>
              <w:rPr>
                <w:b/>
                <w:sz w:val="17"/>
              </w:rPr>
              <w:t>2</w:t>
            </w:r>
            <w:r>
              <w:rPr>
                <w:sz w:val="17"/>
              </w:rPr>
              <w:t xml:space="preserve"> v0</w:t>
            </w:r>
          </w:p>
        </w:tc>
        <w:tc>
          <w:tcPr>
            <w:tcW w:type="dxa" w:w="1392"/>
          </w:tcPr>
          <w:p>
            <w:pPr>
              <w:spacing w:after="40" w:before="40"/>
              <w:jc w:val="left"/>
            </w:pPr>
            <w:r>
              <w:rPr>
                <w:rFonts w:ascii="Consolas" w:hAnsi="Consolas"/>
                <w:color w:val="9C274E"/>
                <w:sz w:val="16"/>
              </w:rPr>
              <w:t>Webhook.subscribe</w:t>
            </w:r>
            <w:r>
              <w:rPr>
                <w:sz w:val="17"/>
              </w:rPr>
              <w:t xml:space="preserve"> plus MCP resources with subscribe support</w:t>
            </w:r>
          </w:p>
        </w:tc>
        <w:tc>
          <w:tcPr>
            <w:tcW w:type="dxa" w:w="1392"/>
          </w:tcPr>
          <w:p>
            <w:pPr>
              <w:spacing w:after="40" w:before="40"/>
              <w:jc w:val="left"/>
            </w:pPr>
            <w:r>
              <w:rPr>
                <w:sz w:val="17"/>
              </w:rPr>
              <w:t>Vtiger, HubSpot events, Platform Events</w:t>
            </w:r>
          </w:p>
        </w:tc>
      </w:tr>
      <w:tr>
        <w:tc>
          <w:tcPr>
            <w:tcW w:type="dxa" w:w="1392"/>
            <w:shd w:val="clear" w:color="auto" w:fill="F4F6F9"/>
          </w:tcPr>
          <w:p>
            <w:pPr>
              <w:spacing w:after="40" w:before="40"/>
              <w:jc w:val="left"/>
            </w:pPr>
            <w:r>
              <w:rPr>
                <w:sz w:val="17"/>
              </w:rPr>
              <w:t>P1-18</w:t>
            </w:r>
          </w:p>
        </w:tc>
        <w:tc>
          <w:tcPr>
            <w:tcW w:type="dxa" w:w="1392"/>
            <w:shd w:val="clear" w:color="auto" w:fill="F4F6F9"/>
          </w:tcPr>
          <w:p>
            <w:pPr>
              <w:spacing w:after="40" w:before="40"/>
              <w:jc w:val="left"/>
            </w:pPr>
            <w:r>
              <w:rPr>
                <w:sz w:val="17"/>
              </w:rPr>
              <w:t>Deals cannot record a buying committee</w:t>
            </w:r>
          </w:p>
        </w:tc>
        <w:tc>
          <w:tcPr>
            <w:tcW w:type="dxa" w:w="1392"/>
            <w:shd w:val="clear" w:color="auto" w:fill="F4F6F9"/>
          </w:tcPr>
          <w:p>
            <w:pPr>
              <w:spacing w:after="40" w:before="40"/>
              <w:jc w:val="left"/>
            </w:pPr>
            <w:r>
              <w:rPr>
                <w:rFonts w:ascii="Consolas" w:hAnsi="Consolas"/>
                <w:color w:val="9C274E"/>
                <w:sz w:val="16"/>
              </w:rPr>
              <w:t>Deal.create</w:t>
            </w:r>
            <w:r>
              <w:rPr>
                <w:sz w:val="17"/>
              </w:rPr>
              <w:t xml:space="preserve"> takes </w:t>
            </w:r>
            <w:r>
              <w:rPr>
                <w:rFonts w:ascii="Consolas" w:hAnsi="Consolas"/>
                <w:color w:val="9C274E"/>
                <w:sz w:val="16"/>
              </w:rPr>
              <w:t>products</w:t>
            </w:r>
            <w:r>
              <w:rPr>
                <w:sz w:val="17"/>
              </w:rPr>
              <w:t xml:space="preserve"> as an array but </w:t>
            </w:r>
            <w:r>
              <w:rPr>
                <w:rFonts w:ascii="Consolas" w:hAnsi="Consolas"/>
                <w:color w:val="9C274E"/>
                <w:sz w:val="16"/>
              </w:rPr>
              <w:t>contact_id</w:t>
            </w:r>
            <w:r>
              <w:rPr>
                <w:sz w:val="17"/>
              </w:rPr>
              <w:t xml:space="preserve"> as a scalar; </w:t>
            </w:r>
            <w:r>
              <w:rPr>
                <w:rFonts w:ascii="Consolas" w:hAnsi="Consolas"/>
                <w:color w:val="9C274E"/>
                <w:sz w:val="16"/>
              </w:rPr>
              <w:t>Deal.source</w:t>
            </w:r>
            <w:r>
              <w:rPr>
                <w:sz w:val="17"/>
              </w:rPr>
              <w:t xml:space="preserve"> can say </w:t>
            </w:r>
            <w:r>
              <w:rPr>
                <w:rFonts w:ascii="Consolas" w:hAnsi="Consolas"/>
                <w:color w:val="9C274E"/>
                <w:sz w:val="16"/>
              </w:rPr>
              <w:t>referral</w:t>
            </w:r>
            <w:r>
              <w:rPr>
                <w:sz w:val="17"/>
              </w:rPr>
              <w:t xml:space="preserve"> with no field for who referred</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b/>
                <w:sz w:val="17"/>
              </w:rPr>
              <w:t>1</w:t>
            </w:r>
          </w:p>
        </w:tc>
        <w:tc>
          <w:tcPr>
            <w:tcW w:type="dxa" w:w="1392"/>
            <w:shd w:val="clear" w:color="auto" w:fill="F4F6F9"/>
          </w:tcPr>
          <w:p>
            <w:pPr>
              <w:spacing w:after="40" w:before="40"/>
              <w:jc w:val="left"/>
            </w:pPr>
            <w:r>
              <w:rPr>
                <w:rFonts w:ascii="Consolas" w:hAnsi="Consolas"/>
                <w:color w:val="9C274E"/>
                <w:sz w:val="16"/>
              </w:rPr>
              <w:t>DealContact(deal_id, party_id, role, influence)</w:t>
            </w:r>
            <w:r>
              <w:rPr>
                <w:sz w:val="17"/>
              </w:rPr>
              <w:t xml:space="preserve"> and </w:t>
            </w:r>
            <w:r>
              <w:rPr>
                <w:rFonts w:ascii="Consolas" w:hAnsi="Consolas"/>
                <w:color w:val="9C274E"/>
                <w:sz w:val="16"/>
              </w:rPr>
              <w:t>referred_by_party_id</w:t>
            </w:r>
          </w:p>
        </w:tc>
        <w:tc>
          <w:tcPr>
            <w:tcW w:type="dxa" w:w="1392"/>
            <w:shd w:val="clear" w:color="auto" w:fill="F4F6F9"/>
          </w:tcPr>
          <w:p>
            <w:pPr>
              <w:spacing w:after="40" w:before="40"/>
              <w:jc w:val="left"/>
            </w:pPr>
            <w:r>
              <w:rPr>
                <w:sz w:val="17"/>
              </w:rPr>
              <w:t>Salesforce opportunity contact roles, HubSpot deal contacts</w:t>
            </w:r>
          </w:p>
        </w:tc>
      </w:tr>
    </w:tbl>
    <w:p>
      <w:pPr>
        <w:spacing w:after="80"/>
      </w:pPr>
    </w:p>
    <w:p>
      <w:pPr>
        <w:pStyle w:val="Heading3"/>
      </w:pPr>
      <w:r>
        <w:t>4.3 P2 — extend a defensible advantage</w:t>
      </w:r>
    </w:p>
    <w:tbl>
      <w:tblPr>
        <w:tblStyle w:val="TableGrid"/>
        <w:tblW w:type="auto" w:w="0"/>
        <w:jc w:val="center"/>
        <w:tblLayout w:type="autofit"/>
        <w:tblLook w:firstColumn="1" w:firstRow="1" w:lastColumn="0" w:lastRow="0" w:noHBand="0" w:noVBand="1" w:val="04A0"/>
        <w:tblCellMar>
          <w:top w:w="60" w:type="dxa"/>
          <w:bottom w:w="60" w:type="dxa"/>
          <w:left w:w="70" w:type="dxa"/>
          <w:right w:w="70" w:type="dxa"/>
        </w:tblCellMar>
      </w:tblPr>
      <w:tblGrid>
        <w:gridCol w:w="1392"/>
        <w:gridCol w:w="1392"/>
        <w:gridCol w:w="1392"/>
        <w:gridCol w:w="1392"/>
        <w:gridCol w:w="1392"/>
        <w:gridCol w:w="1392"/>
        <w:gridCol w:w="1392"/>
      </w:tblGrid>
      <w:tr>
        <w:trPr>
          <w:tblHeader w:val="true"/>
        </w:trPr>
        <w:tc>
          <w:tcPr>
            <w:tcW w:type="dxa" w:w="1392"/>
            <w:shd w:val="clear" w:color="auto" w:fill="1F3864"/>
          </w:tcPr>
          <w:p>
            <w:pPr>
              <w:spacing w:after="40" w:before="40"/>
              <w:jc w:val="left"/>
            </w:pPr>
            <w:r>
              <w:rPr>
                <w:b/>
                <w:color w:val="FFFFFF"/>
                <w:sz w:val="17"/>
              </w:rPr>
              <w:t>ID</w:t>
            </w:r>
          </w:p>
        </w:tc>
        <w:tc>
          <w:tcPr>
            <w:tcW w:type="dxa" w:w="1392"/>
            <w:shd w:val="clear" w:color="auto" w:fill="1F3864"/>
          </w:tcPr>
          <w:p>
            <w:pPr>
              <w:spacing w:after="40" w:before="40"/>
              <w:jc w:val="left"/>
            </w:pPr>
            <w:r>
              <w:rPr>
                <w:b/>
                <w:color w:val="FFFFFF"/>
                <w:sz w:val="17"/>
              </w:rPr>
              <w:t>Gap</w:t>
            </w:r>
          </w:p>
        </w:tc>
        <w:tc>
          <w:tcPr>
            <w:tcW w:type="dxa" w:w="1392"/>
            <w:shd w:val="clear" w:color="auto" w:fill="1F3864"/>
          </w:tcPr>
          <w:p>
            <w:pPr>
              <w:spacing w:after="40" w:before="40"/>
              <w:jc w:val="left"/>
            </w:pPr>
            <w:r>
              <w:rPr>
                <w:b/>
                <w:color w:val="FFFFFF"/>
                <w:sz w:val="17"/>
              </w:rPr>
              <w:t>Evidence</w:t>
            </w:r>
          </w:p>
        </w:tc>
        <w:tc>
          <w:tcPr>
            <w:tcW w:type="dxa" w:w="1392"/>
            <w:shd w:val="clear" w:color="auto" w:fill="1F3864"/>
          </w:tcPr>
          <w:p>
            <w:pPr>
              <w:spacing w:after="40" w:before="40"/>
              <w:jc w:val="center"/>
            </w:pPr>
            <w:r>
              <w:rPr>
                <w:b/>
                <w:color w:val="FFFFFF"/>
                <w:sz w:val="17"/>
              </w:rPr>
              <w:t>Effort</w:t>
            </w:r>
          </w:p>
        </w:tc>
        <w:tc>
          <w:tcPr>
            <w:tcW w:type="dxa" w:w="1392"/>
            <w:shd w:val="clear" w:color="auto" w:fill="1F3864"/>
          </w:tcPr>
          <w:p>
            <w:pPr>
              <w:spacing w:after="40" w:before="40"/>
              <w:jc w:val="center"/>
            </w:pPr>
            <w:r>
              <w:rPr>
                <w:b/>
                <w:color w:val="FFFFFF"/>
                <w:sz w:val="17"/>
              </w:rPr>
              <w:t>Wk</w:t>
            </w:r>
          </w:p>
        </w:tc>
        <w:tc>
          <w:tcPr>
            <w:tcW w:type="dxa" w:w="1392"/>
            <w:shd w:val="clear" w:color="auto" w:fill="1F3864"/>
          </w:tcPr>
          <w:p>
            <w:pPr>
              <w:spacing w:after="40" w:before="40"/>
              <w:jc w:val="left"/>
            </w:pPr>
            <w:r>
              <w:rPr>
                <w:b/>
                <w:color w:val="FFFFFF"/>
                <w:sz w:val="17"/>
              </w:rPr>
              <w:t>Proposed surface</w:t>
            </w:r>
          </w:p>
        </w:tc>
        <w:tc>
          <w:tcPr>
            <w:tcW w:type="dxa" w:w="1392"/>
            <w:shd w:val="clear" w:color="auto" w:fill="1F3864"/>
          </w:tcPr>
          <w:p>
            <w:pPr>
              <w:spacing w:after="40" w:before="40"/>
              <w:jc w:val="left"/>
            </w:pPr>
            <w:r>
              <w:rPr>
                <w:b/>
                <w:color w:val="FFFFFF"/>
                <w:sz w:val="17"/>
              </w:rPr>
              <w:t>Note</w:t>
            </w:r>
          </w:p>
        </w:tc>
      </w:tr>
      <w:tr>
        <w:tc>
          <w:tcPr>
            <w:tcW w:type="dxa" w:w="1392"/>
          </w:tcPr>
          <w:p>
            <w:pPr>
              <w:spacing w:after="40" w:before="40"/>
              <w:jc w:val="left"/>
            </w:pPr>
            <w:r>
              <w:rPr>
                <w:sz w:val="17"/>
              </w:rPr>
              <w:t>P2-1</w:t>
            </w:r>
          </w:p>
        </w:tc>
        <w:tc>
          <w:tcPr>
            <w:tcW w:type="dxa" w:w="1392"/>
          </w:tcPr>
          <w:p>
            <w:pPr>
              <w:spacing w:after="40" w:before="40"/>
              <w:jc w:val="left"/>
            </w:pPr>
            <w:r>
              <w:rPr>
                <w:sz w:val="17"/>
              </w:rPr>
              <w:t>Long work has no job handle</w:t>
            </w:r>
          </w:p>
        </w:tc>
        <w:tc>
          <w:tcPr>
            <w:tcW w:type="dxa" w:w="1392"/>
          </w:tcPr>
          <w:p>
            <w:pPr>
              <w:spacing w:after="40" w:before="40"/>
              <w:jc w:val="left"/>
            </w:pPr>
            <w:r>
              <w:rPr>
                <w:rFonts w:ascii="Consolas" w:hAnsi="Consolas"/>
                <w:color w:val="9C274E"/>
                <w:sz w:val="16"/>
              </w:rPr>
              <w:t>mission_control.staffing_forecast</w:t>
            </w:r>
            <w:r>
              <w:rPr>
                <w:sz w:val="17"/>
              </w:rPr>
              <w:t xml:space="preserve"> and </w:t>
            </w:r>
            <w:r>
              <w:rPr>
                <w:rFonts w:ascii="Consolas" w:hAnsi="Consolas"/>
                <w:color w:val="9C274E"/>
                <w:sz w:val="16"/>
              </w:rPr>
              <w:t>job_ledger.replay</w:t>
            </w:r>
            <w:r>
              <w:rPr>
                <w:sz w:val="17"/>
              </w:rPr>
              <w:t xml:space="preserve"> run inline with no task id or progress</w:t>
            </w:r>
          </w:p>
        </w:tc>
        <w:tc>
          <w:tcPr>
            <w:tcW w:type="dxa" w:w="1392"/>
          </w:tcPr>
          <w:p>
            <w:pPr>
              <w:spacing w:after="40" w:before="40"/>
              <w:jc w:val="center"/>
            </w:pPr>
            <w:r>
              <w:rPr>
                <w:sz w:val="17"/>
              </w:rPr>
              <w:t>M</w:t>
            </w:r>
          </w:p>
        </w:tc>
        <w:tc>
          <w:tcPr>
            <w:tcW w:type="dxa" w:w="1392"/>
          </w:tcPr>
          <w:p>
            <w:pPr>
              <w:spacing w:after="40" w:before="40"/>
              <w:jc w:val="center"/>
            </w:pPr>
            <w:r>
              <w:rPr>
                <w:sz w:val="17"/>
              </w:rPr>
              <w:t>—</w:t>
            </w:r>
          </w:p>
        </w:tc>
        <w:tc>
          <w:tcPr>
            <w:tcW w:type="dxa" w:w="1392"/>
          </w:tcPr>
          <w:p>
            <w:pPr>
              <w:spacing w:after="40" w:before="40"/>
              <w:jc w:val="left"/>
            </w:pPr>
            <w:r>
              <w:rPr>
                <w:sz w:val="17"/>
              </w:rPr>
              <w:t>Return a task id with poll and cancel; adopt MCP tasks</w:t>
            </w:r>
          </w:p>
        </w:tc>
        <w:tc>
          <w:tcPr>
            <w:tcW w:type="dxa" w:w="1392"/>
          </w:tcPr>
          <w:p>
            <w:pPr>
              <w:spacing w:after="40" w:before="40"/>
              <w:jc w:val="left"/>
            </w:pPr>
            <w:r>
              <w:rPr>
                <w:sz w:val="17"/>
              </w:rPr>
              <w:t>MCP 2026 multi round-trip guidance</w:t>
            </w:r>
          </w:p>
        </w:tc>
      </w:tr>
      <w:tr>
        <w:tc>
          <w:tcPr>
            <w:tcW w:type="dxa" w:w="1392"/>
            <w:shd w:val="clear" w:color="auto" w:fill="F4F6F9"/>
          </w:tcPr>
          <w:p>
            <w:pPr>
              <w:spacing w:after="40" w:before="40"/>
              <w:jc w:val="left"/>
            </w:pPr>
            <w:r>
              <w:rPr>
                <w:sz w:val="17"/>
              </w:rPr>
              <w:t>P2-2</w:t>
            </w:r>
          </w:p>
        </w:tc>
        <w:tc>
          <w:tcPr>
            <w:tcW w:type="dxa" w:w="1392"/>
            <w:shd w:val="clear" w:color="auto" w:fill="F4F6F9"/>
          </w:tcPr>
          <w:p>
            <w:pPr>
              <w:spacing w:after="40" w:before="40"/>
              <w:jc w:val="left"/>
            </w:pPr>
            <w:r>
              <w:rPr>
                <w:sz w:val="17"/>
              </w:rPr>
              <w:t>Ledger proof is not a customer-facing artifact</w:t>
            </w:r>
          </w:p>
        </w:tc>
        <w:tc>
          <w:tcPr>
            <w:tcW w:type="dxa" w:w="1392"/>
            <w:shd w:val="clear" w:color="auto" w:fill="F4F6F9"/>
          </w:tcPr>
          <w:p>
            <w:pPr>
              <w:spacing w:after="40" w:before="40"/>
              <w:jc w:val="left"/>
            </w:pPr>
            <w:r>
              <w:rPr>
                <w:rFonts w:ascii="Consolas" w:hAnsi="Consolas"/>
                <w:color w:val="9C274E"/>
                <w:sz w:val="16"/>
              </w:rPr>
              <w:t>verify</w:t>
            </w:r>
            <w:r>
              <w:rPr>
                <w:sz w:val="17"/>
              </w:rPr>
              <w:t xml:space="preserve">, </w:t>
            </w:r>
            <w:r>
              <w:rPr>
                <w:rFonts w:ascii="Consolas" w:hAnsi="Consolas"/>
                <w:color w:val="9C274E"/>
                <w:sz w:val="16"/>
              </w:rPr>
              <w:t>replay</w:t>
            </w:r>
            <w:r>
              <w:rPr>
                <w:sz w:val="17"/>
              </w:rPr>
              <w:t xml:space="preserve"> and </w:t>
            </w:r>
            <w:r>
              <w:rPr>
                <w:rFonts w:ascii="Consolas" w:hAnsi="Consolas"/>
                <w:color w:val="9C274E"/>
                <w:sz w:val="16"/>
              </w:rPr>
              <w:t>forensics</w:t>
            </w:r>
            <w:r>
              <w:rPr>
                <w:sz w:val="17"/>
              </w:rPr>
              <w:t xml:space="preserve"> stop at API responses; no signed, shareable audit pack</w:t>
            </w:r>
          </w:p>
        </w:tc>
        <w:tc>
          <w:tcPr>
            <w:tcW w:type="dxa" w:w="1392"/>
            <w:shd w:val="clear" w:color="auto" w:fill="F4F6F9"/>
          </w:tcPr>
          <w:p>
            <w:pPr>
              <w:spacing w:after="40" w:before="40"/>
              <w:jc w:val="center"/>
            </w:pPr>
            <w:r>
              <w:rPr>
                <w:sz w:val="17"/>
              </w:rPr>
              <w:t>M</w:t>
            </w:r>
          </w:p>
        </w:tc>
        <w:tc>
          <w:tcPr>
            <w:tcW w:type="dxa" w:w="1392"/>
            <w:shd w:val="clear" w:color="auto" w:fill="F4F6F9"/>
          </w:tcPr>
          <w:p>
            <w:pPr>
              <w:spacing w:after="40" w:before="40"/>
              <w:jc w:val="center"/>
            </w:pPr>
            <w:r>
              <w:rPr>
                <w:sz w:val="17"/>
              </w:rPr>
              <w:t>—</w:t>
            </w:r>
          </w:p>
        </w:tc>
        <w:tc>
          <w:tcPr>
            <w:tcW w:type="dxa" w:w="1392"/>
            <w:shd w:val="clear" w:color="auto" w:fill="F4F6F9"/>
          </w:tcPr>
          <w:p>
            <w:pPr>
              <w:spacing w:after="40" w:before="40"/>
              <w:jc w:val="left"/>
            </w:pPr>
            <w:r>
              <w:rPr>
                <w:rFonts w:ascii="Consolas" w:hAnsi="Consolas"/>
                <w:color w:val="9C274E"/>
                <w:sz w:val="16"/>
              </w:rPr>
              <w:t>Ledger.export_audit_pack(period)</w:t>
            </w:r>
            <w:r>
              <w:rPr>
                <w:sz w:val="17"/>
              </w:rPr>
              <w:t xml:space="preserve"> with detached signature</w:t>
            </w:r>
          </w:p>
        </w:tc>
        <w:tc>
          <w:tcPr>
            <w:tcW w:type="dxa" w:w="1392"/>
            <w:shd w:val="clear" w:color="auto" w:fill="F4F6F9"/>
          </w:tcPr>
          <w:p>
            <w:pPr>
              <w:spacing w:after="40" w:before="40"/>
              <w:jc w:val="left"/>
            </w:pPr>
            <w:r>
              <w:rPr>
                <w:sz w:val="17"/>
              </w:rPr>
              <w:t>Nobody in the comparison set ships this</w:t>
            </w:r>
          </w:p>
        </w:tc>
      </w:tr>
      <w:tr>
        <w:tc>
          <w:tcPr>
            <w:tcW w:type="dxa" w:w="1392"/>
          </w:tcPr>
          <w:p>
            <w:pPr>
              <w:spacing w:after="40" w:before="40"/>
              <w:jc w:val="left"/>
            </w:pPr>
            <w:r>
              <w:rPr>
                <w:sz w:val="17"/>
              </w:rPr>
              <w:t>P2-3</w:t>
            </w:r>
          </w:p>
        </w:tc>
        <w:tc>
          <w:tcPr>
            <w:tcW w:type="dxa" w:w="1392"/>
          </w:tcPr>
          <w:p>
            <w:pPr>
              <w:spacing w:after="40" w:before="40"/>
              <w:jc w:val="left"/>
            </w:pPr>
            <w:r>
              <w:rPr>
                <w:sz w:val="17"/>
              </w:rPr>
              <w:t>Tool policy is data, not a published contract</w:t>
            </w:r>
          </w:p>
        </w:tc>
        <w:tc>
          <w:tcPr>
            <w:tcW w:type="dxa" w:w="1392"/>
          </w:tcPr>
          <w:p>
            <w:pPr>
              <w:spacing w:after="40" w:before="40"/>
              <w:jc w:val="left"/>
            </w:pPr>
            <w:r>
              <w:rPr>
                <w:rFonts w:ascii="Consolas" w:hAnsi="Consolas"/>
                <w:color w:val="9C274E"/>
                <w:sz w:val="16"/>
              </w:rPr>
              <w:t>AgentToolPolicy</w:t>
            </w:r>
            <w:r>
              <w:rPr>
                <w:sz w:val="17"/>
              </w:rPr>
              <w:t xml:space="preserve"> and </w:t>
            </w:r>
            <w:r>
              <w:rPr>
                <w:rFonts w:ascii="Consolas" w:hAnsi="Consolas"/>
                <w:color w:val="9C274E"/>
                <w:sz w:val="16"/>
              </w:rPr>
              <w:t>AgentFloorConfig</w:t>
            </w:r>
            <w:r>
              <w:rPr>
                <w:sz w:val="17"/>
              </w:rPr>
              <w:t xml:space="preserve"> are read-only records with no authored, versioned rule language</w:t>
            </w:r>
          </w:p>
        </w:tc>
        <w:tc>
          <w:tcPr>
            <w:tcW w:type="dxa" w:w="1392"/>
          </w:tcPr>
          <w:p>
            <w:pPr>
              <w:spacing w:after="40" w:before="40"/>
              <w:jc w:val="center"/>
            </w:pPr>
            <w:r>
              <w:rPr>
                <w:sz w:val="17"/>
              </w:rPr>
              <w:t>L</w:t>
            </w:r>
          </w:p>
        </w:tc>
        <w:tc>
          <w:tcPr>
            <w:tcW w:type="dxa" w:w="1392"/>
          </w:tcPr>
          <w:p>
            <w:pPr>
              <w:spacing w:after="40" w:before="40"/>
              <w:jc w:val="center"/>
            </w:pPr>
            <w:r>
              <w:rPr>
                <w:sz w:val="17"/>
              </w:rPr>
              <w:t>—</w:t>
            </w:r>
          </w:p>
        </w:tc>
        <w:tc>
          <w:tcPr>
            <w:tcW w:type="dxa" w:w="1392"/>
          </w:tcPr>
          <w:p>
            <w:pPr>
              <w:spacing w:after="40" w:before="40"/>
              <w:jc w:val="left"/>
            </w:pPr>
            <w:r>
              <w:rPr>
                <w:sz w:val="17"/>
              </w:rPr>
              <w:t>Versioned policy DSL with simulate and diff before rollout</w:t>
            </w:r>
          </w:p>
        </w:tc>
        <w:tc>
          <w:tcPr>
            <w:tcW w:type="dxa" w:w="1392"/>
          </w:tcPr>
          <w:p>
            <w:pPr>
              <w:spacing w:after="40" w:before="40"/>
              <w:jc w:val="left"/>
            </w:pPr>
            <w:r>
              <w:rPr>
                <w:sz w:val="17"/>
              </w:rPr>
              <w:t>Answers Agentforce Agent Script</w:t>
            </w:r>
          </w:p>
        </w:tc>
      </w:tr>
      <w:tr>
        <w:tc>
          <w:tcPr>
            <w:tcW w:type="dxa" w:w="1392"/>
            <w:shd w:val="clear" w:color="auto" w:fill="F4F6F9"/>
          </w:tcPr>
          <w:p>
            <w:pPr>
              <w:spacing w:after="40" w:before="40"/>
              <w:jc w:val="left"/>
            </w:pPr>
            <w:r>
              <w:rPr>
                <w:sz w:val="17"/>
              </w:rPr>
              <w:t>P2-4</w:t>
            </w:r>
          </w:p>
        </w:tc>
        <w:tc>
          <w:tcPr>
            <w:tcW w:type="dxa" w:w="1392"/>
            <w:shd w:val="clear" w:color="auto" w:fill="F4F6F9"/>
          </w:tcPr>
          <w:p>
            <w:pPr>
              <w:spacing w:after="40" w:before="40"/>
              <w:jc w:val="left"/>
            </w:pPr>
            <w:r>
              <w:rPr>
                <w:sz w:val="17"/>
              </w:rPr>
              <w:t>Budget telemetry stops at today</w:t>
            </w:r>
          </w:p>
        </w:tc>
        <w:tc>
          <w:tcPr>
            <w:tcW w:type="dxa" w:w="1392"/>
            <w:shd w:val="clear" w:color="auto" w:fill="F4F6F9"/>
          </w:tcPr>
          <w:p>
            <w:pPr>
              <w:spacing w:after="40" w:before="40"/>
              <w:jc w:val="left"/>
            </w:pPr>
            <w:r>
              <w:rPr>
                <w:rFonts w:ascii="Consolas" w:hAnsi="Consolas"/>
                <w:color w:val="9C274E"/>
                <w:sz w:val="16"/>
              </w:rPr>
              <w:t>AgentPersona.daily_limits</w:t>
            </w:r>
            <w:r>
              <w:rPr>
                <w:sz w:val="17"/>
              </w:rPr>
              <w:t xml:space="preserve"> reports today's tokens and USD against limits, resetting 00:00 UTC, with no history</w:t>
            </w:r>
          </w:p>
        </w:tc>
        <w:tc>
          <w:tcPr>
            <w:tcW w:type="dxa" w:w="1392"/>
            <w:shd w:val="clear" w:color="auto" w:fill="F4F6F9"/>
          </w:tcPr>
          <w:p>
            <w:pPr>
              <w:spacing w:after="40" w:before="40"/>
              <w:jc w:val="center"/>
            </w:pPr>
            <w:r>
              <w:rPr>
                <w:b/>
                <w:sz w:val="17"/>
              </w:rPr>
              <w:t>S</w:t>
            </w:r>
          </w:p>
        </w:tc>
        <w:tc>
          <w:tcPr>
            <w:tcW w:type="dxa" w:w="1392"/>
            <w:shd w:val="clear" w:color="auto" w:fill="F4F6F9"/>
          </w:tcPr>
          <w:p>
            <w:pPr>
              <w:spacing w:after="40" w:before="40"/>
              <w:jc w:val="center"/>
            </w:pPr>
            <w:r>
              <w:rPr>
                <w:b/>
                <w:sz w:val="17"/>
              </w:rPr>
              <w:t>1</w:t>
            </w:r>
          </w:p>
        </w:tc>
        <w:tc>
          <w:tcPr>
            <w:tcW w:type="dxa" w:w="1392"/>
            <w:shd w:val="clear" w:color="auto" w:fill="F4F6F9"/>
          </w:tcPr>
          <w:p>
            <w:pPr>
              <w:spacing w:after="40" w:before="40"/>
              <w:jc w:val="left"/>
            </w:pPr>
            <w:r>
              <w:rPr>
                <w:rFonts w:ascii="Consolas" w:hAnsi="Consolas"/>
                <w:color w:val="9C274E"/>
                <w:sz w:val="16"/>
              </w:rPr>
              <w:t>Cost.timeseries(persona, range)</w:t>
            </w:r>
            <w:r>
              <w:rPr>
                <w:sz w:val="17"/>
              </w:rPr>
              <w:t xml:space="preserve"> with threshold alerts</w:t>
            </w:r>
          </w:p>
        </w:tc>
        <w:tc>
          <w:tcPr>
            <w:tcW w:type="dxa" w:w="1392"/>
            <w:shd w:val="clear" w:color="auto" w:fill="F4F6F9"/>
          </w:tcPr>
          <w:p>
            <w:pPr>
              <w:spacing w:after="40" w:before="40"/>
              <w:jc w:val="left"/>
            </w:pPr>
            <w:r>
              <w:rPr>
                <w:sz w:val="17"/>
              </w:rPr>
              <w:t>Agent Health Monitoring, Copilot credits</w:t>
            </w:r>
          </w:p>
        </w:tc>
      </w:tr>
    </w:tbl>
    <w:p>
      <w:pPr>
        <w:spacing w:after="80"/>
      </w:pPr>
    </w:p>
    <w:p>
      <w:pPr>
        <w:spacing w:before="80" w:after="200"/>
        <w:pBdr>
          <w:bottom w:val="single" w:sz="8" w:space="8" w:color="C9D1DC"/>
        </w:pBdr>
      </w:pPr>
      <w:r>
        <w:br w:type="page"/>
      </w:r>
    </w:p>
    <w:p>
      <w:pPr>
        <w:pStyle w:val="Heading2"/>
      </w:pPr>
      <w:r>
        <w:t>5. Spotlight: the relationship graph</w:t>
      </w:r>
    </w:p>
    <w:p>
      <w:r>
        <w:t xml:space="preserve">Every CRM models the same funnel — lead, opportunity, order. What none of them model well is </w:t>
      </w:r>
      <w:r>
        <w:rPr>
          <w:b/>
        </w:rPr>
        <w:t>the network of people behind it</w:t>
      </w:r>
      <w:r>
        <w:t>.</w:t>
      </w:r>
    </w:p>
    <w:p>
      <w:r>
        <w:t xml:space="preserve">AgentSwitch already has the edge table. </w:t>
      </w:r>
      <w:r>
        <w:rPr>
          <w:rFonts w:ascii="Consolas" w:hAnsi="Consolas"/>
          <w:color w:val="9C274E"/>
          <w:sz w:val="20"/>
        </w:rPr>
        <w:t>PartyRelationship</w:t>
      </w:r>
      <w:r>
        <w:t xml:space="preserve"> carries </w:t>
      </w:r>
      <w:r>
        <w:rPr>
          <w:rFonts w:ascii="Consolas" w:hAnsi="Consolas"/>
          <w:color w:val="9C274E"/>
          <w:sz w:val="20"/>
        </w:rPr>
        <w:t>from_party_id</w:t>
      </w:r>
      <w:r>
        <w:t xml:space="preserve">, </w:t>
      </w:r>
      <w:r>
        <w:rPr>
          <w:rFonts w:ascii="Consolas" w:hAnsi="Consolas"/>
          <w:color w:val="9C274E"/>
          <w:sz w:val="20"/>
        </w:rPr>
        <w:t>to_party_id</w:t>
      </w:r>
      <w:r>
        <w:t xml:space="preserve">, a 16-value typed </w:t>
      </w:r>
      <w:r>
        <w:rPr>
          <w:rFonts w:ascii="Consolas" w:hAnsi="Consolas"/>
          <w:color w:val="9C274E"/>
          <w:sz w:val="20"/>
        </w:rPr>
        <w:t>relationship</w:t>
      </w:r>
      <w:r>
        <w:t xml:space="preserve">, </w:t>
      </w:r>
      <w:r>
        <w:rPr>
          <w:rFonts w:ascii="Consolas" w:hAnsi="Consolas"/>
          <w:color w:val="9C274E"/>
          <w:sz w:val="20"/>
        </w:rPr>
        <w:t>is_primary</w:t>
      </w:r>
      <w:r>
        <w:t xml:space="preserve">, </w:t>
      </w:r>
      <w:r>
        <w:rPr>
          <w:rFonts w:ascii="Consolas" w:hAnsi="Consolas"/>
          <w:color w:val="9C274E"/>
          <w:sz w:val="20"/>
        </w:rPr>
        <w:t>since</w:t>
      </w:r>
      <w:r>
        <w:t xml:space="preserve"> and </w:t>
      </w:r>
      <w:r>
        <w:rPr>
          <w:rFonts w:ascii="Consolas" w:hAnsi="Consolas"/>
          <w:color w:val="9C274E"/>
          <w:sz w:val="20"/>
        </w:rPr>
        <w:t>until</w:t>
      </w:r>
      <w:r>
        <w:t>, with full create and update. It is a graph schema that nothing populates and nothing walks.</w:t>
      </w:r>
    </w:p>
    <w:p>
      <w:pPr>
        <w:spacing w:before="160" w:after="200"/>
        <w:ind w:left="227" w:right="113"/>
        <w:pBdr>
          <w:left w:val="single" w:sz="24" w:space="8" w:color="2F5496"/>
        </w:pBdr>
        <w:shd w:val="clear" w:color="auto" w:fill="F7F9FC"/>
      </w:pPr>
      <w:r>
        <w:rPr>
          <w:b/>
          <w:color w:val="2B3340"/>
          <w:sz w:val="20"/>
        </w:rPr>
        <w:t>The structural blocker comes first.</w:t>
      </w:r>
      <w:r>
        <w:rPr>
          <w:color w:val="2B3340"/>
          <w:sz w:val="20"/>
        </w:rPr>
        <w:t xml:space="preserve"> </w:t>
      </w:r>
      <w:r>
        <w:rPr>
          <w:rFonts w:ascii="Consolas" w:hAnsi="Consolas"/>
          <w:color w:val="9C274E"/>
          <w:sz w:val="19"/>
        </w:rPr>
        <w:t>Note.create</w:t>
      </w:r>
      <w:r>
        <w:rPr>
          <w:color w:val="2B3340"/>
          <w:sz w:val="20"/>
        </w:rPr>
        <w:t xml:space="preserve"> and </w:t>
      </w:r>
      <w:r>
        <w:rPr>
          <w:rFonts w:ascii="Consolas" w:hAnsi="Consolas"/>
          <w:color w:val="9C274E"/>
          <w:sz w:val="19"/>
        </w:rPr>
        <w:t>Activity.create</w:t>
      </w:r>
      <w:r>
        <w:rPr>
          <w:color w:val="2B3340"/>
          <w:sz w:val="20"/>
        </w:rPr>
        <w:t xml:space="preserve"> each accept a single </w:t>
      </w:r>
      <w:r>
        <w:rPr>
          <w:rFonts w:ascii="Consolas" w:hAnsi="Consolas"/>
          <w:color w:val="9C274E"/>
          <w:sz w:val="19"/>
        </w:rPr>
        <w:t>party_id</w:t>
      </w:r>
      <w:r>
        <w:rPr>
          <w:color w:val="2B3340"/>
          <w:sz w:val="20"/>
        </w:rPr>
        <w:t xml:space="preserve">. A meeting with four attendees cannot be recorded as a meeting with four attendees, so co-occurrence — the richest signal for who knows whom — is not merely unused, it is </w:t>
      </w:r>
      <w:r>
        <w:rPr>
          <w:b/>
          <w:color w:val="2B3340"/>
          <w:sz w:val="20"/>
        </w:rPr>
        <w:t>impossible to express</w:t>
      </w:r>
      <w:r>
        <w:rPr>
          <w:color w:val="2B3340"/>
          <w:sz w:val="20"/>
        </w:rPr>
        <w:t xml:space="preserve">. No amount of inference works around this. </w:t>
      </w:r>
      <w:r>
        <w:rPr>
          <w:rFonts w:ascii="Consolas" w:hAnsi="Consolas"/>
          <w:color w:val="9C274E"/>
          <w:sz w:val="19"/>
        </w:rPr>
        <w:t>ActivityParticipant</w:t>
      </w:r>
      <w:r>
        <w:rPr>
          <w:color w:val="2B3340"/>
          <w:sz w:val="20"/>
        </w:rPr>
        <w:t xml:space="preserve"> is the unlock, and it is the smallest change in the whole register.</w:t>
      </w:r>
    </w:p>
    <w:p>
      <w:pPr>
        <w:pStyle w:val="Heading3"/>
      </w:pPr>
      <w:r>
        <w:t>5.1 Pipeline: from chat mention to traversable edge</w:t>
      </w:r>
    </w:p>
    <w:p>
      <w:pPr>
        <w:spacing w:before="120" w:after="40"/>
        <w:jc w:val="center"/>
        <w:pBdr>
          <w:top w:val="single" w:sz="6" w:space="8" w:color="C9D1DC"/>
          <w:bottom w:val="single" w:sz="6" w:space="8" w:color="C9D1DC"/>
          <w:left w:val="single" w:sz="6" w:space="8" w:color="C9D1DC"/>
          <w:right w:val="single" w:sz="6" w:space="8" w:color="C9D1DC"/>
        </w:pBdr>
        <w:shd w:val="clear" w:color="auto" w:fill="F7F9FC"/>
      </w:pPr>
      <w:r>
        <w:rPr>
          <w:color w:val="44546A"/>
          <w:sz w:val="18"/>
        </w:rPr>
        <w:t>Capture  →  AgentMessage / Note / CallNoteDraft  →  Activity + ActivityParticipant  →  Resolve mention to party_id  →  Co-occurrence signal  →  PartyMention evidence  →  Rollup: evidence_count, strength, confidence  →  Proposed edge  →  Human confirm or reject  →  PartyRelationship, origin = observed  →  neighbors / path / subgraph / influence</w:t>
      </w:r>
    </w:p>
    <w:p>
      <w:pPr>
        <w:spacing w:after="200"/>
        <w:jc w:val="center"/>
      </w:pPr>
      <w:r>
        <w:rPr>
          <w:i/>
          <w:color w:val="69707C"/>
          <w:sz w:val="17"/>
        </w:rPr>
        <w:t>Figure 1. Mention-to-edge pipeline.</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3249"/>
        <w:gridCol w:w="3249"/>
        <w:gridCol w:w="3249"/>
      </w:tblGrid>
      <w:tr>
        <w:trPr>
          <w:tblHeader w:val="true"/>
        </w:trPr>
        <w:tc>
          <w:tcPr>
            <w:tcW w:type="dxa" w:w="3249"/>
            <w:shd w:val="clear" w:color="auto" w:fill="1F3864"/>
          </w:tcPr>
          <w:p>
            <w:pPr>
              <w:spacing w:after="40" w:before="40"/>
              <w:jc w:val="left"/>
            </w:pPr>
            <w:r>
              <w:rPr>
                <w:b/>
                <w:color w:val="FFFFFF"/>
                <w:sz w:val="19"/>
              </w:rPr>
              <w:t>Stage</w:t>
            </w:r>
          </w:p>
        </w:tc>
        <w:tc>
          <w:tcPr>
            <w:tcW w:type="dxa" w:w="3249"/>
            <w:shd w:val="clear" w:color="auto" w:fill="1F3864"/>
          </w:tcPr>
          <w:p>
            <w:pPr>
              <w:spacing w:after="40" w:before="40"/>
              <w:jc w:val="left"/>
            </w:pPr>
            <w:r>
              <w:rPr>
                <w:b/>
                <w:color w:val="FFFFFF"/>
                <w:sz w:val="19"/>
              </w:rPr>
              <w:t>What exists today</w:t>
            </w:r>
          </w:p>
        </w:tc>
        <w:tc>
          <w:tcPr>
            <w:tcW w:type="dxa" w:w="3249"/>
            <w:shd w:val="clear" w:color="auto" w:fill="1F3864"/>
          </w:tcPr>
          <w:p>
            <w:pPr>
              <w:spacing w:after="40" w:before="40"/>
              <w:jc w:val="left"/>
            </w:pPr>
            <w:r>
              <w:rPr>
                <w:b/>
                <w:color w:val="FFFFFF"/>
                <w:sz w:val="19"/>
              </w:rPr>
              <w:t>What has to be built</w:t>
            </w:r>
          </w:p>
        </w:tc>
      </w:tr>
      <w:tr>
        <w:tc>
          <w:tcPr>
            <w:tcW w:type="dxa" w:w="3249"/>
          </w:tcPr>
          <w:p>
            <w:pPr>
              <w:spacing w:after="40" w:before="40"/>
              <w:jc w:val="left"/>
            </w:pPr>
            <w:r>
              <w:rPr>
                <w:b/>
                <w:sz w:val="19"/>
              </w:rPr>
              <w:t>1. Capture</w:t>
            </w:r>
          </w:p>
        </w:tc>
        <w:tc>
          <w:tcPr>
            <w:tcW w:type="dxa" w:w="3249"/>
          </w:tcPr>
          <w:p>
            <w:pPr>
              <w:spacing w:after="40" w:before="40"/>
              <w:jc w:val="left"/>
            </w:pPr>
            <w:r>
              <w:rPr>
                <w:rFonts w:ascii="Consolas" w:hAnsi="Consolas"/>
                <w:color w:val="9C274E"/>
                <w:sz w:val="18"/>
              </w:rPr>
              <w:t>Note</w:t>
            </w:r>
            <w:r>
              <w:rPr>
                <w:sz w:val="19"/>
              </w:rPr>
              <w:t xml:space="preserve"> and </w:t>
            </w:r>
            <w:r>
              <w:rPr>
                <w:rFonts w:ascii="Consolas" w:hAnsi="Consolas"/>
                <w:color w:val="9C274E"/>
                <w:sz w:val="18"/>
              </w:rPr>
              <w:t>Activity</w:t>
            </w:r>
            <w:r>
              <w:rPr>
                <w:sz w:val="19"/>
              </w:rPr>
              <w:t xml:space="preserve"> each carry one </w:t>
            </w:r>
            <w:r>
              <w:rPr>
                <w:rFonts w:ascii="Consolas" w:hAnsi="Consolas"/>
                <w:color w:val="9C274E"/>
                <w:sz w:val="18"/>
              </w:rPr>
              <w:t>party_id</w:t>
            </w:r>
            <w:r>
              <w:rPr>
                <w:sz w:val="19"/>
              </w:rPr>
              <w:t xml:space="preserve">; </w:t>
            </w:r>
            <w:r>
              <w:rPr>
                <w:rFonts w:ascii="Consolas" w:hAnsi="Consolas"/>
                <w:color w:val="9C274E"/>
                <w:sz w:val="18"/>
              </w:rPr>
              <w:t>AgentMessage</w:t>
            </w:r>
            <w:r>
              <w:rPr>
                <w:sz w:val="19"/>
              </w:rPr>
              <w:t xml:space="preserve"> holds the chat text</w:t>
            </w:r>
          </w:p>
        </w:tc>
        <w:tc>
          <w:tcPr>
            <w:tcW w:type="dxa" w:w="3249"/>
          </w:tcPr>
          <w:p>
            <w:pPr>
              <w:spacing w:after="40" w:before="40"/>
              <w:jc w:val="left"/>
            </w:pPr>
            <w:r>
              <w:rPr>
                <w:rFonts w:ascii="Consolas" w:hAnsi="Consolas"/>
                <w:color w:val="9C274E"/>
                <w:sz w:val="18"/>
              </w:rPr>
              <w:t>ActivityParticipant(activity_id, party_id, role: organizer \| attendee \| cc \| mentioned)</w:t>
            </w:r>
          </w:p>
        </w:tc>
      </w:tr>
      <w:tr>
        <w:tc>
          <w:tcPr>
            <w:tcW w:type="dxa" w:w="3249"/>
            <w:shd w:val="clear" w:color="auto" w:fill="F4F6F9"/>
          </w:tcPr>
          <w:p>
            <w:pPr>
              <w:spacing w:after="40" w:before="40"/>
              <w:jc w:val="left"/>
            </w:pPr>
            <w:r>
              <w:rPr>
                <w:b/>
                <w:sz w:val="19"/>
              </w:rPr>
              <w:t>2. Resolve</w:t>
            </w:r>
          </w:p>
        </w:tc>
        <w:tc>
          <w:tcPr>
            <w:tcW w:type="dxa" w:w="3249"/>
            <w:shd w:val="clear" w:color="auto" w:fill="F4F6F9"/>
          </w:tcPr>
          <w:p>
            <w:pPr>
              <w:spacing w:after="40" w:before="40"/>
              <w:jc w:val="left"/>
            </w:pPr>
            <w:r>
              <w:rPr>
                <w:rFonts w:ascii="Consolas" w:hAnsi="Consolas"/>
                <w:color w:val="9C274E"/>
                <w:sz w:val="18"/>
              </w:rPr>
              <w:t>Party.list</w:t>
            </w:r>
            <w:r>
              <w:rPr>
                <w:sz w:val="19"/>
              </w:rPr>
              <w:t xml:space="preserve"> matches on name, email and phone</w:t>
            </w:r>
          </w:p>
        </w:tc>
        <w:tc>
          <w:tcPr>
            <w:tcW w:type="dxa" w:w="3249"/>
            <w:shd w:val="clear" w:color="auto" w:fill="F4F6F9"/>
          </w:tcPr>
          <w:p>
            <w:pPr>
              <w:spacing w:after="40" w:before="40"/>
              <w:jc w:val="left"/>
            </w:pPr>
            <w:r>
              <w:rPr>
                <w:rFonts w:ascii="Consolas" w:hAnsi="Consolas"/>
                <w:color w:val="9C274E"/>
                <w:sz w:val="18"/>
              </w:rPr>
              <w:t>PartyMention(source_type, source_id, party_id, span, confidence)</w:t>
            </w:r>
            <w:r>
              <w:rPr>
                <w:sz w:val="19"/>
              </w:rPr>
              <w:t xml:space="preserve"> — written per mention, not per edge</w:t>
            </w:r>
          </w:p>
        </w:tc>
      </w:tr>
      <w:tr>
        <w:tc>
          <w:tcPr>
            <w:tcW w:type="dxa" w:w="3249"/>
          </w:tcPr>
          <w:p>
            <w:pPr>
              <w:spacing w:after="40" w:before="40"/>
              <w:jc w:val="left"/>
            </w:pPr>
            <w:r>
              <w:rPr>
                <w:b/>
                <w:sz w:val="19"/>
              </w:rPr>
              <w:t>3. Roll up</w:t>
            </w:r>
          </w:p>
        </w:tc>
        <w:tc>
          <w:tcPr>
            <w:tcW w:type="dxa" w:w="3249"/>
          </w:tcPr>
          <w:p>
            <w:pPr>
              <w:spacing w:after="40" w:before="40"/>
              <w:jc w:val="left"/>
            </w:pPr>
            <w:r>
              <w:rPr>
                <w:sz w:val="19"/>
              </w:rPr>
              <w:t>Nothing; every edge today is typed by hand</w:t>
            </w:r>
          </w:p>
        </w:tc>
        <w:tc>
          <w:tcPr>
            <w:tcW w:type="dxa" w:w="3249"/>
          </w:tcPr>
          <w:p>
            <w:pPr>
              <w:spacing w:after="40" w:before="40"/>
              <w:jc w:val="left"/>
            </w:pPr>
            <w:r>
              <w:rPr>
                <w:sz w:val="19"/>
              </w:rPr>
              <w:t xml:space="preserve">Threshold on repeated co-mention and co-attendance proposes an edge with </w:t>
            </w:r>
            <w:r>
              <w:rPr>
                <w:rFonts w:ascii="Consolas" w:hAnsi="Consolas"/>
                <w:color w:val="9C274E"/>
                <w:sz w:val="18"/>
              </w:rPr>
              <w:t>evidence_count</w:t>
            </w:r>
            <w:r>
              <w:rPr>
                <w:sz w:val="19"/>
              </w:rPr>
              <w:t xml:space="preserve"> and </w:t>
            </w:r>
            <w:r>
              <w:rPr>
                <w:rFonts w:ascii="Consolas" w:hAnsi="Consolas"/>
                <w:color w:val="9C274E"/>
                <w:sz w:val="18"/>
              </w:rPr>
              <w:t>strength</w:t>
            </w:r>
          </w:p>
        </w:tc>
      </w:tr>
      <w:tr>
        <w:tc>
          <w:tcPr>
            <w:tcW w:type="dxa" w:w="3249"/>
            <w:shd w:val="clear" w:color="auto" w:fill="F4F6F9"/>
          </w:tcPr>
          <w:p>
            <w:pPr>
              <w:spacing w:after="40" w:before="40"/>
              <w:jc w:val="left"/>
            </w:pPr>
            <w:r>
              <w:rPr>
                <w:b/>
                <w:sz w:val="19"/>
              </w:rPr>
              <w:t>4. Confirm</w:t>
            </w:r>
          </w:p>
        </w:tc>
        <w:tc>
          <w:tcPr>
            <w:tcW w:type="dxa" w:w="3249"/>
            <w:shd w:val="clear" w:color="auto" w:fill="F4F6F9"/>
          </w:tcPr>
          <w:p>
            <w:pPr>
              <w:spacing w:after="40" w:before="40"/>
              <w:jc w:val="left"/>
            </w:pPr>
            <w:r>
              <w:rPr>
                <w:rFonts w:ascii="Consolas" w:hAnsi="Consolas"/>
                <w:color w:val="9C274E"/>
                <w:sz w:val="18"/>
              </w:rPr>
              <w:t>AgentEscalation</w:t>
            </w:r>
            <w:r>
              <w:rPr>
                <w:sz w:val="19"/>
              </w:rPr>
              <w:t xml:space="preserve"> already routes agent decisions to a human queue</w:t>
            </w:r>
          </w:p>
        </w:tc>
        <w:tc>
          <w:tcPr>
            <w:tcW w:type="dxa" w:w="3249"/>
            <w:shd w:val="clear" w:color="auto" w:fill="F4F6F9"/>
          </w:tcPr>
          <w:p>
            <w:pPr>
              <w:spacing w:after="40" w:before="40"/>
              <w:jc w:val="left"/>
            </w:pPr>
            <w:r>
              <w:rPr>
                <w:sz w:val="19"/>
              </w:rPr>
              <w:t>Proposed edges confirmed or rejected before they count; rejection is itself training signal</w:t>
            </w:r>
          </w:p>
        </w:tc>
      </w:tr>
      <w:tr>
        <w:tc>
          <w:tcPr>
            <w:tcW w:type="dxa" w:w="3249"/>
          </w:tcPr>
          <w:p>
            <w:pPr>
              <w:spacing w:after="40" w:before="40"/>
              <w:jc w:val="left"/>
            </w:pPr>
            <w:r>
              <w:rPr>
                <w:b/>
                <w:sz w:val="19"/>
              </w:rPr>
              <w:t>5. Traverse</w:t>
            </w:r>
          </w:p>
        </w:tc>
        <w:tc>
          <w:tcPr>
            <w:tcW w:type="dxa" w:w="3249"/>
          </w:tcPr>
          <w:p>
            <w:pPr>
              <w:spacing w:after="40" w:before="40"/>
              <w:jc w:val="left"/>
            </w:pPr>
            <w:r>
              <w:rPr>
                <w:rFonts w:ascii="Consolas" w:hAnsi="Consolas"/>
                <w:color w:val="9C274E"/>
                <w:sz w:val="18"/>
              </w:rPr>
              <w:t>PartyRelationship.list</w:t>
            </w:r>
            <w:r>
              <w:rPr>
                <w:sz w:val="19"/>
              </w:rPr>
              <w:t xml:space="preserve"> — one hop, one direction, exact match</w:t>
            </w:r>
          </w:p>
        </w:tc>
        <w:tc>
          <w:tcPr>
            <w:tcW w:type="dxa" w:w="3249"/>
          </w:tcPr>
          <w:p>
            <w:pPr>
              <w:spacing w:after="40" w:before="40"/>
              <w:jc w:val="left"/>
            </w:pPr>
            <w:r>
              <w:rPr>
                <w:rFonts w:ascii="Consolas" w:hAnsi="Consolas"/>
                <w:color w:val="9C274E"/>
                <w:sz w:val="18"/>
              </w:rPr>
              <w:t>neighbors(depth, min_strength, types[])</w:t>
            </w:r>
            <w:r>
              <w:rPr>
                <w:sz w:val="19"/>
              </w:rPr>
              <w:t xml:space="preserve">, </w:t>
            </w:r>
            <w:r>
              <w:rPr>
                <w:rFonts w:ascii="Consolas" w:hAnsi="Consolas"/>
                <w:color w:val="9C274E"/>
                <w:sz w:val="18"/>
              </w:rPr>
              <w:t>path(from, to, max_hops)</w:t>
            </w:r>
            <w:r>
              <w:rPr>
                <w:sz w:val="19"/>
              </w:rPr>
              <w:t xml:space="preserve">, </w:t>
            </w:r>
            <w:r>
              <w:rPr>
                <w:rFonts w:ascii="Consolas" w:hAnsi="Consolas"/>
                <w:color w:val="9C274E"/>
                <w:sz w:val="18"/>
              </w:rPr>
              <w:t>subgraph(seeds[])</w:t>
            </w:r>
            <w:r>
              <w:rPr>
                <w:sz w:val="19"/>
              </w:rPr>
              <w:t xml:space="preserve">, </w:t>
            </w:r>
            <w:r>
              <w:rPr>
                <w:rFonts w:ascii="Consolas" w:hAnsi="Consolas"/>
                <w:color w:val="9C274E"/>
                <w:sz w:val="18"/>
              </w:rPr>
              <w:t>influence(deal_id)</w:t>
            </w:r>
          </w:p>
        </w:tc>
      </w:tr>
    </w:tbl>
    <w:p>
      <w:pPr>
        <w:spacing w:after="80"/>
      </w:pPr>
    </w:p>
    <w:p>
      <w:r>
        <w:t xml:space="preserve">A single mention is noise, so mentions are stored as </w:t>
      </w:r>
      <w:r>
        <w:rPr>
          <w:b/>
        </w:rPr>
        <w:t>evidence</w:t>
      </w:r>
      <w:r>
        <w:t xml:space="preserve"> rather than written straight through as edges. Only a repeated pattern crosses the threshold into a proposed edge.</w:t>
      </w:r>
    </w:p>
    <w:p>
      <w:pPr>
        <w:pStyle w:val="Heading3"/>
      </w:pPr>
      <w:r>
        <w:t>5.2 Fields the edge needs</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rPr>
          <w:tblHeader w:val="true"/>
        </w:trPr>
        <w:tc>
          <w:tcPr>
            <w:tcW w:type="dxa" w:w="4873"/>
            <w:shd w:val="clear" w:color="auto" w:fill="1F3864"/>
          </w:tcPr>
          <w:p>
            <w:pPr>
              <w:spacing w:after="40" w:before="40"/>
              <w:jc w:val="left"/>
            </w:pPr>
            <w:r>
              <w:rPr>
                <w:b/>
                <w:color w:val="FFFFFF"/>
                <w:sz w:val="19"/>
              </w:rPr>
              <w:t>Field</w:t>
            </w:r>
          </w:p>
        </w:tc>
        <w:tc>
          <w:tcPr>
            <w:tcW w:type="dxa" w:w="4873"/>
            <w:shd w:val="clear" w:color="auto" w:fill="1F3864"/>
          </w:tcPr>
          <w:p>
            <w:pPr>
              <w:spacing w:after="40" w:before="40"/>
              <w:jc w:val="left"/>
            </w:pPr>
            <w:r>
              <w:rPr>
                <w:b/>
                <w:color w:val="FFFFFF"/>
                <w:sz w:val="19"/>
              </w:rPr>
              <w:t>Why</w:t>
            </w:r>
          </w:p>
        </w:tc>
      </w:tr>
      <w:tr>
        <w:tc>
          <w:tcPr>
            <w:tcW w:type="dxa" w:w="4873"/>
          </w:tcPr>
          <w:p>
            <w:pPr>
              <w:spacing w:after="40" w:before="40"/>
              <w:jc w:val="left"/>
            </w:pPr>
            <w:r>
              <w:rPr>
                <w:rFonts w:ascii="Consolas" w:hAnsi="Consolas"/>
                <w:color w:val="9C274E"/>
                <w:sz w:val="18"/>
              </w:rPr>
              <w:t>origin</w:t>
            </w:r>
          </w:p>
        </w:tc>
        <w:tc>
          <w:tcPr>
            <w:tcW w:type="dxa" w:w="4873"/>
          </w:tcPr>
          <w:p>
            <w:pPr>
              <w:spacing w:after="40" w:before="40"/>
              <w:jc w:val="left"/>
            </w:pPr>
            <w:r>
              <w:rPr>
                <w:rFonts w:ascii="Consolas" w:hAnsi="Consolas"/>
                <w:color w:val="9C274E"/>
                <w:sz w:val="18"/>
              </w:rPr>
              <w:t>declared</w:t>
            </w:r>
            <w:r>
              <w:rPr>
                <w:sz w:val="19"/>
              </w:rPr>
              <w:t xml:space="preserve"> / </w:t>
            </w:r>
            <w:r>
              <w:rPr>
                <w:rFonts w:ascii="Consolas" w:hAnsi="Consolas"/>
                <w:color w:val="9C274E"/>
                <w:sz w:val="18"/>
              </w:rPr>
              <w:t>observed</w:t>
            </w:r>
            <w:r>
              <w:rPr>
                <w:sz w:val="19"/>
              </w:rPr>
              <w:t xml:space="preserve"> / </w:t>
            </w:r>
            <w:r>
              <w:rPr>
                <w:rFonts w:ascii="Consolas" w:hAnsi="Consolas"/>
                <w:color w:val="9C274E"/>
                <w:sz w:val="18"/>
              </w:rPr>
              <w:t>imported</w:t>
            </w:r>
            <w:r>
              <w:rPr>
                <w:sz w:val="19"/>
              </w:rPr>
              <w:t xml:space="preserve"> — so a typed-in spouse never outranks a guessed colleague</w:t>
            </w:r>
          </w:p>
        </w:tc>
      </w:tr>
      <w:tr>
        <w:tc>
          <w:tcPr>
            <w:tcW w:type="dxa" w:w="4873"/>
            <w:shd w:val="clear" w:color="auto" w:fill="F4F6F9"/>
          </w:tcPr>
          <w:p>
            <w:pPr>
              <w:spacing w:after="40" w:before="40"/>
              <w:jc w:val="left"/>
            </w:pPr>
            <w:r>
              <w:rPr>
                <w:rFonts w:ascii="Consolas" w:hAnsi="Consolas"/>
                <w:color w:val="9C274E"/>
                <w:sz w:val="18"/>
              </w:rPr>
              <w:t>strength</w:t>
            </w:r>
          </w:p>
        </w:tc>
        <w:tc>
          <w:tcPr>
            <w:tcW w:type="dxa" w:w="4873"/>
            <w:shd w:val="clear" w:color="auto" w:fill="F4F6F9"/>
          </w:tcPr>
          <w:p>
            <w:pPr>
              <w:spacing w:after="40" w:before="40"/>
              <w:jc w:val="left"/>
            </w:pPr>
            <w:r>
              <w:rPr>
                <w:sz w:val="19"/>
              </w:rPr>
              <w:t>0 to 1, decaying with recency of interaction</w:t>
            </w:r>
          </w:p>
        </w:tc>
      </w:tr>
      <w:tr>
        <w:tc>
          <w:tcPr>
            <w:tcW w:type="dxa" w:w="4873"/>
          </w:tcPr>
          <w:p>
            <w:pPr>
              <w:spacing w:after="40" w:before="40"/>
              <w:jc w:val="left"/>
            </w:pPr>
            <w:r>
              <w:rPr>
                <w:rFonts w:ascii="Consolas" w:hAnsi="Consolas"/>
                <w:color w:val="9C274E"/>
                <w:sz w:val="18"/>
              </w:rPr>
              <w:t>confidence</w:t>
            </w:r>
          </w:p>
        </w:tc>
        <w:tc>
          <w:tcPr>
            <w:tcW w:type="dxa" w:w="4873"/>
          </w:tcPr>
          <w:p>
            <w:pPr>
              <w:spacing w:after="40" w:before="40"/>
              <w:jc w:val="left"/>
            </w:pPr>
            <w:r>
              <w:rPr>
                <w:sz w:val="19"/>
              </w:rPr>
              <w:t>How sure the extractor is that the mention resolved to this party</w:t>
            </w:r>
          </w:p>
        </w:tc>
      </w:tr>
      <w:tr>
        <w:tc>
          <w:tcPr>
            <w:tcW w:type="dxa" w:w="4873"/>
            <w:shd w:val="clear" w:color="auto" w:fill="F4F6F9"/>
          </w:tcPr>
          <w:p>
            <w:pPr>
              <w:spacing w:after="40" w:before="40"/>
              <w:jc w:val="left"/>
            </w:pPr>
            <w:r>
              <w:rPr>
                <w:rFonts w:ascii="Consolas" w:hAnsi="Consolas"/>
                <w:color w:val="9C274E"/>
                <w:sz w:val="18"/>
              </w:rPr>
              <w:t>evidence_count</w:t>
            </w:r>
          </w:p>
        </w:tc>
        <w:tc>
          <w:tcPr>
            <w:tcW w:type="dxa" w:w="4873"/>
            <w:shd w:val="clear" w:color="auto" w:fill="F4F6F9"/>
          </w:tcPr>
          <w:p>
            <w:pPr>
              <w:spacing w:after="40" w:before="40"/>
              <w:jc w:val="left"/>
            </w:pPr>
            <w:r>
              <w:rPr>
                <w:sz w:val="19"/>
              </w:rPr>
              <w:t>How many distinct interactions support the edge</w:t>
            </w:r>
          </w:p>
        </w:tc>
      </w:tr>
      <w:tr>
        <w:tc>
          <w:tcPr>
            <w:tcW w:type="dxa" w:w="4873"/>
          </w:tcPr>
          <w:p>
            <w:pPr>
              <w:spacing w:after="40" w:before="40"/>
              <w:jc w:val="left"/>
            </w:pPr>
            <w:r>
              <w:rPr>
                <w:rFonts w:ascii="Consolas" w:hAnsi="Consolas"/>
                <w:color w:val="9C274E"/>
                <w:sz w:val="18"/>
              </w:rPr>
              <w:t>last_interaction_at</w:t>
            </w:r>
          </w:p>
        </w:tc>
        <w:tc>
          <w:tcPr>
            <w:tcW w:type="dxa" w:w="4873"/>
          </w:tcPr>
          <w:p>
            <w:pPr>
              <w:spacing w:after="40" w:before="40"/>
              <w:jc w:val="left"/>
            </w:pPr>
            <w:r>
              <w:rPr>
                <w:sz w:val="19"/>
              </w:rPr>
              <w:t>Powers going-cold detection and strength decay</w:t>
            </w:r>
          </w:p>
        </w:tc>
      </w:tr>
    </w:tbl>
    <w:p>
      <w:pPr>
        <w:spacing w:after="80"/>
      </w:pPr>
    </w:p>
    <w:p>
      <w:pPr>
        <w:pStyle w:val="Heading3"/>
      </w:pPr>
      <w:r>
        <w:t>5.3 The enum is kinship, not commerce</w:t>
      </w:r>
    </w:p>
    <w:p>
      <w:r>
        <w:t xml:space="preserve">The 16 existing types cover </w:t>
      </w:r>
      <w:r>
        <w:rPr>
          <w:rFonts w:ascii="Consolas" w:hAnsi="Consolas"/>
          <w:color w:val="9C274E"/>
          <w:sz w:val="20"/>
        </w:rPr>
        <w:t>guardian</w:t>
      </w:r>
      <w:r>
        <w:t xml:space="preserve">, </w:t>
      </w:r>
      <w:r>
        <w:rPr>
          <w:rFonts w:ascii="Consolas" w:hAnsi="Consolas"/>
          <w:color w:val="9C274E"/>
          <w:sz w:val="20"/>
        </w:rPr>
        <w:t>dependent</w:t>
      </w:r>
      <w:r>
        <w:t xml:space="preserve">, </w:t>
      </w:r>
      <w:r>
        <w:rPr>
          <w:rFonts w:ascii="Consolas" w:hAnsi="Consolas"/>
          <w:color w:val="9C274E"/>
          <w:sz w:val="20"/>
        </w:rPr>
        <w:t>spouse</w:t>
      </w:r>
      <w:r>
        <w:t xml:space="preserve">, </w:t>
      </w:r>
      <w:r>
        <w:rPr>
          <w:rFonts w:ascii="Consolas" w:hAnsi="Consolas"/>
          <w:color w:val="9C274E"/>
          <w:sz w:val="20"/>
        </w:rPr>
        <w:t>next_of_kin</w:t>
      </w:r>
      <w:r>
        <w:t xml:space="preserve"> and </w:t>
      </w:r>
      <w:r>
        <w:rPr>
          <w:rFonts w:ascii="Consolas" w:hAnsi="Consolas"/>
          <w:color w:val="9C274E"/>
          <w:sz w:val="20"/>
        </w:rPr>
        <w:t>emergency_contact</w:t>
      </w:r>
      <w:r>
        <w:t xml:space="preserve"> well — and commercial influence barely at all. </w:t>
      </w:r>
      <w:r>
        <w:rPr>
          <w:rFonts w:ascii="Consolas" w:hAnsi="Consolas"/>
          <w:color w:val="9C274E"/>
          <w:sz w:val="20"/>
        </w:rPr>
        <w:t>referred_by</w:t>
      </w:r>
      <w:r>
        <w:t xml:space="preserve">, </w:t>
      </w:r>
      <w:r>
        <w:rPr>
          <w:rFonts w:ascii="Consolas" w:hAnsi="Consolas"/>
          <w:color w:val="9C274E"/>
          <w:sz w:val="20"/>
        </w:rPr>
        <w:t>employer</w:t>
      </w:r>
      <w:r>
        <w:t xml:space="preserve"> and </w:t>
      </w:r>
      <w:r>
        <w:rPr>
          <w:rFonts w:ascii="Consolas" w:hAnsi="Consolas"/>
          <w:color w:val="9C274E"/>
          <w:sz w:val="20"/>
        </w:rPr>
        <w:t>represents</w:t>
      </w:r>
      <w:r>
        <w:t xml:space="preserve"> are the only ones a seller would reach for.</w:t>
      </w:r>
    </w:p>
    <w:p>
      <w:r>
        <w:rPr>
          <w:b/>
        </w:rPr>
        <w:t>Add:</w:t>
      </w:r>
      <w:r>
        <w:t xml:space="preserve"> </w:t>
      </w:r>
      <w:r>
        <w:rPr>
          <w:rFonts w:ascii="Consolas" w:hAnsi="Consolas"/>
          <w:color w:val="9C274E"/>
          <w:sz w:val="20"/>
        </w:rPr>
        <w:t>colleague</w:t>
      </w:r>
      <w:r>
        <w:t xml:space="preserve"> · </w:t>
      </w:r>
      <w:r>
        <w:rPr>
          <w:rFonts w:ascii="Consolas" w:hAnsi="Consolas"/>
          <w:color w:val="9C274E"/>
          <w:sz w:val="20"/>
        </w:rPr>
        <w:t>reports_to</w:t>
      </w:r>
      <w:r>
        <w:t xml:space="preserve"> · </w:t>
      </w:r>
      <w:r>
        <w:rPr>
          <w:rFonts w:ascii="Consolas" w:hAnsi="Consolas"/>
          <w:color w:val="9C274E"/>
          <w:sz w:val="20"/>
        </w:rPr>
        <w:t>introduced_by</w:t>
      </w:r>
      <w:r>
        <w:t xml:space="preserve"> · </w:t>
      </w:r>
      <w:r>
        <w:rPr>
          <w:rFonts w:ascii="Consolas" w:hAnsi="Consolas"/>
          <w:color w:val="9C274E"/>
          <w:sz w:val="20"/>
        </w:rPr>
        <w:t>co_attendee</w:t>
      </w:r>
      <w:r>
        <w:t xml:space="preserve"> · </w:t>
      </w:r>
      <w:r>
        <w:rPr>
          <w:rFonts w:ascii="Consolas" w:hAnsi="Consolas"/>
          <w:color w:val="9C274E"/>
          <w:sz w:val="20"/>
        </w:rPr>
        <w:t>champion</w:t>
      </w:r>
      <w:r>
        <w:t xml:space="preserve"> · </w:t>
      </w:r>
      <w:r>
        <w:rPr>
          <w:rFonts w:ascii="Consolas" w:hAnsi="Consolas"/>
          <w:color w:val="9C274E"/>
          <w:sz w:val="20"/>
        </w:rPr>
        <w:t>detractor</w:t>
      </w:r>
      <w:r>
        <w:t xml:space="preserve"> · </w:t>
      </w:r>
      <w:r>
        <w:rPr>
          <w:rFonts w:ascii="Consolas" w:hAnsi="Consolas"/>
          <w:color w:val="9C274E"/>
          <w:sz w:val="20"/>
        </w:rPr>
        <w:t>economic_buyer</w:t>
      </w:r>
      <w:r>
        <w:t xml:space="preserve"> · </w:t>
      </w:r>
      <w:r>
        <w:rPr>
          <w:rFonts w:ascii="Consolas" w:hAnsi="Consolas"/>
          <w:color w:val="9C274E"/>
          <w:sz w:val="20"/>
        </w:rPr>
        <w:t>knows</w:t>
      </w:r>
    </w:p>
    <w:p>
      <w:pPr>
        <w:spacing w:before="160" w:after="200"/>
        <w:ind w:left="227" w:right="113"/>
        <w:pBdr>
          <w:left w:val="single" w:sz="24" w:space="8" w:color="2F5496"/>
        </w:pBdr>
        <w:shd w:val="clear" w:color="auto" w:fill="F7F9FC"/>
      </w:pPr>
      <w:r>
        <w:rPr>
          <w:color w:val="2B3340"/>
          <w:sz w:val="20"/>
        </w:rPr>
        <w:t xml:space="preserve">An observed edge is </w:t>
      </w:r>
      <w:r>
        <w:rPr>
          <w:b/>
          <w:color w:val="2B3340"/>
          <w:sz w:val="20"/>
        </w:rPr>
        <w:t>derived personal data</w:t>
      </w:r>
      <w:r>
        <w:rPr>
          <w:color w:val="2B3340"/>
          <w:sz w:val="20"/>
        </w:rPr>
        <w:t xml:space="preserve">. It has to appear in </w:t>
      </w:r>
      <w:r>
        <w:rPr>
          <w:rFonts w:ascii="Consolas" w:hAnsi="Consolas"/>
          <w:color w:val="9C274E"/>
          <w:sz w:val="19"/>
        </w:rPr>
        <w:t>PrivacyRequest</w:t>
      </w:r>
      <w:r>
        <w:rPr>
          <w:color w:val="2B3340"/>
          <w:sz w:val="20"/>
        </w:rPr>
        <w:t xml:space="preserve"> and be removable through </w:t>
      </w:r>
      <w:r>
        <w:rPr>
          <w:rFonts w:ascii="Consolas" w:hAnsi="Consolas"/>
          <w:color w:val="9C274E"/>
          <w:sz w:val="19"/>
        </w:rPr>
        <w:t>privacy/forget/preview</w:t>
      </w:r>
      <w:r>
        <w:rPr>
          <w:color w:val="2B3340"/>
          <w:sz w:val="20"/>
        </w:rPr>
        <w:t xml:space="preserve"> — both of which already exist here. That is precisely why this is safer to build on AgentSwitch than on the alternatives.</w:t>
      </w:r>
    </w:p>
    <w:p>
      <w:pPr>
        <w:pStyle w:val="Heading3"/>
      </w:pPr>
      <w:r>
        <w:t>5.4 Why this matters at the deal, not just the contact</w:t>
      </w:r>
    </w:p>
    <w:p>
      <w:r>
        <w:t>This is the part that turns a data-model improvement into a commercial differentiator. A deal is not a transaction with a company; it is a negotiation among people. The schema does not currently believe that.</w:t>
      </w:r>
    </w:p>
    <w:p>
      <w:r>
        <w:rPr>
          <w:rFonts w:ascii="Consolas" w:hAnsi="Consolas"/>
          <w:color w:val="9C274E"/>
          <w:sz w:val="20"/>
        </w:rPr>
        <w:t>Deal.create</w:t>
      </w:r>
      <w:r>
        <w:t xml:space="preserve"> accepts </w:t>
      </w:r>
      <w:r>
        <w:rPr>
          <w:rFonts w:ascii="Consolas" w:hAnsi="Consolas"/>
          <w:color w:val="9C274E"/>
          <w:sz w:val="20"/>
        </w:rPr>
        <w:t>products</w:t>
      </w:r>
      <w:r>
        <w:t xml:space="preserve"> as an array and </w:t>
      </w:r>
      <w:r>
        <w:rPr>
          <w:rFonts w:ascii="Consolas" w:hAnsi="Consolas"/>
          <w:color w:val="9C274E"/>
          <w:sz w:val="20"/>
        </w:rPr>
        <w:t>contact_id</w:t>
      </w:r>
      <w:r>
        <w:t xml:space="preserve"> as a scalar. The author of that schema knew how to model a collection and chose not to for humans — so an enterprise deal with a six-person buying committee is recorded as a deal with one contact. </w:t>
      </w:r>
      <w:r>
        <w:rPr>
          <w:rFonts w:ascii="Consolas" w:hAnsi="Consolas"/>
          <w:color w:val="9C274E"/>
          <w:sz w:val="20"/>
        </w:rPr>
        <w:t>Lead.create</w:t>
      </w:r>
      <w:r>
        <w:t xml:space="preserve"> is thinner still, carrying only </w:t>
      </w:r>
      <w:r>
        <w:rPr>
          <w:rFonts w:ascii="Consolas" w:hAnsi="Consolas"/>
          <w:color w:val="9C274E"/>
          <w:sz w:val="20"/>
        </w:rPr>
        <w:t>party_id</w:t>
      </w:r>
      <w:r>
        <w:t xml:space="preserve">. And </w:t>
      </w:r>
      <w:r>
        <w:rPr>
          <w:rFonts w:ascii="Consolas" w:hAnsi="Consolas"/>
          <w:color w:val="9C274E"/>
          <w:sz w:val="20"/>
        </w:rPr>
        <w:t>Deal.source</w:t>
      </w:r>
      <w:r>
        <w:t xml:space="preserve"> can be set to </w:t>
      </w:r>
      <w:r>
        <w:rPr>
          <w:rFonts w:ascii="Consolas" w:hAnsi="Consolas"/>
          <w:color w:val="9C274E"/>
          <w:sz w:val="20"/>
        </w:rPr>
        <w:t>referral</w:t>
      </w:r>
      <w:r>
        <w:t xml:space="preserve">, </w:t>
      </w:r>
      <w:r>
        <w:rPr>
          <w:rFonts w:ascii="Consolas" w:hAnsi="Consolas"/>
          <w:color w:val="9C274E"/>
          <w:sz w:val="20"/>
        </w:rPr>
        <w:t>partner</w:t>
      </w:r>
      <w:r>
        <w:t xml:space="preserve"> or </w:t>
      </w:r>
      <w:r>
        <w:rPr>
          <w:rFonts w:ascii="Consolas" w:hAnsi="Consolas"/>
          <w:color w:val="9C274E"/>
          <w:sz w:val="20"/>
        </w:rPr>
        <w:t>existing_customer</w:t>
      </w:r>
      <w:r>
        <w:t xml:space="preserve"> while nothing anywhere records </w:t>
      </w:r>
      <w:r>
        <w:rPr>
          <w:i/>
        </w:rPr>
        <w:t>who</w:t>
      </w:r>
      <w:r>
        <w:t xml:space="preserve"> referred, even though </w:t>
      </w:r>
      <w:r>
        <w:rPr>
          <w:rFonts w:ascii="Consolas" w:hAnsi="Consolas"/>
          <w:color w:val="9C274E"/>
          <w:sz w:val="20"/>
        </w:rPr>
        <w:t>PartyRelationship</w:t>
      </w:r>
      <w:r>
        <w:t xml:space="preserve"> already has </w:t>
      </w:r>
      <w:r>
        <w:rPr>
          <w:rFonts w:ascii="Consolas" w:hAnsi="Consolas"/>
          <w:color w:val="9C274E"/>
          <w:sz w:val="20"/>
        </w:rPr>
        <w:t>referred_by</w:t>
      </w:r>
      <w:r>
        <w:t xml:space="preserve"> and </w:t>
      </w:r>
      <w:r>
        <w:rPr>
          <w:rFonts w:ascii="Consolas" w:hAnsi="Consolas"/>
          <w:color w:val="9C274E"/>
          <w:sz w:val="20"/>
        </w:rPr>
        <w:t>referred</w:t>
      </w:r>
      <w:r>
        <w:t xml:space="preserve"> edge types sitting unused.</w:t>
      </w:r>
    </w:p>
    <w:p>
      <w:r>
        <w:t xml:space="preserve">Once </w:t>
      </w:r>
      <w:r>
        <w:rPr>
          <w:rFonts w:ascii="Consolas" w:hAnsi="Consolas"/>
          <w:color w:val="9C274E"/>
          <w:sz w:val="20"/>
        </w:rPr>
        <w:t>DealContact</w:t>
      </w:r>
      <w:r>
        <w:t xml:space="preserve"> and the observed graph exist, each of these becomes answerable in one call:</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3249"/>
        <w:gridCol w:w="3249"/>
        <w:gridCol w:w="3249"/>
      </w:tblGrid>
      <w:tr>
        <w:trPr>
          <w:tblHeader w:val="true"/>
        </w:trPr>
        <w:tc>
          <w:tcPr>
            <w:tcW w:type="dxa" w:w="3249"/>
            <w:shd w:val="clear" w:color="auto" w:fill="1F3864"/>
          </w:tcPr>
          <w:p>
            <w:pPr>
              <w:spacing w:after="40" w:before="40"/>
              <w:jc w:val="left"/>
            </w:pPr>
            <w:r>
              <w:rPr>
                <w:b/>
                <w:color w:val="FFFFFF"/>
                <w:sz w:val="19"/>
              </w:rPr>
              <w:t>Deal question</w:t>
            </w:r>
          </w:p>
        </w:tc>
        <w:tc>
          <w:tcPr>
            <w:tcW w:type="dxa" w:w="3249"/>
            <w:shd w:val="clear" w:color="auto" w:fill="1F3864"/>
          </w:tcPr>
          <w:p>
            <w:pPr>
              <w:spacing w:after="40" w:before="40"/>
              <w:jc w:val="left"/>
            </w:pPr>
            <w:r>
              <w:rPr>
                <w:b/>
                <w:color w:val="FFFFFF"/>
                <w:sz w:val="19"/>
              </w:rPr>
              <w:t>How the graph answers it</w:t>
            </w:r>
          </w:p>
        </w:tc>
        <w:tc>
          <w:tcPr>
            <w:tcW w:type="dxa" w:w="3249"/>
            <w:shd w:val="clear" w:color="auto" w:fill="1F3864"/>
          </w:tcPr>
          <w:p>
            <w:pPr>
              <w:spacing w:after="40" w:before="40"/>
              <w:jc w:val="left"/>
            </w:pPr>
            <w:r>
              <w:rPr>
                <w:b/>
                <w:color w:val="FFFFFF"/>
                <w:sz w:val="19"/>
              </w:rPr>
              <w:t>Competitor equivalent</w:t>
            </w:r>
          </w:p>
        </w:tc>
      </w:tr>
      <w:tr>
        <w:tc>
          <w:tcPr>
            <w:tcW w:type="dxa" w:w="3249"/>
          </w:tcPr>
          <w:p>
            <w:pPr>
              <w:spacing w:after="40" w:before="40"/>
              <w:jc w:val="left"/>
            </w:pPr>
            <w:r>
              <w:rPr>
                <w:b/>
                <w:sz w:val="19"/>
              </w:rPr>
              <w:t>Are we single-threaded?</w:t>
            </w:r>
          </w:p>
        </w:tc>
        <w:tc>
          <w:tcPr>
            <w:tcW w:type="dxa" w:w="3249"/>
          </w:tcPr>
          <w:p>
            <w:pPr>
              <w:spacing w:after="40" w:before="40"/>
              <w:jc w:val="left"/>
            </w:pPr>
            <w:r>
              <w:rPr>
                <w:sz w:val="19"/>
              </w:rPr>
              <w:t xml:space="preserve">Count confirmed </w:t>
            </w:r>
            <w:r>
              <w:rPr>
                <w:rFonts w:ascii="Consolas" w:hAnsi="Consolas"/>
                <w:color w:val="9C274E"/>
                <w:sz w:val="18"/>
              </w:rPr>
              <w:t>DealContact</w:t>
            </w:r>
            <w:r>
              <w:rPr>
                <w:sz w:val="19"/>
              </w:rPr>
              <w:t xml:space="preserve"> rows with recent </w:t>
            </w:r>
            <w:r>
              <w:rPr>
                <w:rFonts w:ascii="Consolas" w:hAnsi="Consolas"/>
                <w:color w:val="9C274E"/>
                <w:sz w:val="18"/>
              </w:rPr>
              <w:t>last_interaction_at</w:t>
            </w:r>
            <w:r>
              <w:rPr>
                <w:sz w:val="19"/>
              </w:rPr>
              <w:t>. One contact on a large deal is the single best predictor of slippage</w:t>
            </w:r>
          </w:p>
        </w:tc>
        <w:tc>
          <w:tcPr>
            <w:tcW w:type="dxa" w:w="3249"/>
          </w:tcPr>
          <w:p>
            <w:pPr>
              <w:spacing w:after="40" w:before="40"/>
              <w:jc w:val="left"/>
            </w:pPr>
            <w:r>
              <w:rPr>
                <w:sz w:val="19"/>
              </w:rPr>
              <w:t>Gong and Clari sell this as deal risk</w:t>
            </w:r>
          </w:p>
        </w:tc>
      </w:tr>
      <w:tr>
        <w:tc>
          <w:tcPr>
            <w:tcW w:type="dxa" w:w="3249"/>
            <w:shd w:val="clear" w:color="auto" w:fill="F4F6F9"/>
          </w:tcPr>
          <w:p>
            <w:pPr>
              <w:spacing w:after="40" w:before="40"/>
              <w:jc w:val="left"/>
            </w:pPr>
            <w:r>
              <w:rPr>
                <w:b/>
                <w:sz w:val="19"/>
              </w:rPr>
              <w:t>Who is the warm path in?</w:t>
            </w:r>
          </w:p>
        </w:tc>
        <w:tc>
          <w:tcPr>
            <w:tcW w:type="dxa" w:w="3249"/>
            <w:shd w:val="clear" w:color="auto" w:fill="F4F6F9"/>
          </w:tcPr>
          <w:p>
            <w:pPr>
              <w:spacing w:after="40" w:before="40"/>
              <w:jc w:val="left"/>
            </w:pPr>
            <w:r>
              <w:rPr>
                <w:rFonts w:ascii="Consolas" w:hAnsi="Consolas"/>
                <w:color w:val="9C274E"/>
                <w:sz w:val="18"/>
              </w:rPr>
              <w:t>Relationship.path(our_party, economic_buyer)</w:t>
            </w:r>
            <w:r>
              <w:rPr>
                <w:sz w:val="19"/>
              </w:rPr>
              <w:t xml:space="preserve"> over </w:t>
            </w:r>
            <w:r>
              <w:rPr>
                <w:rFonts w:ascii="Consolas" w:hAnsi="Consolas"/>
                <w:color w:val="9C274E"/>
                <w:sz w:val="18"/>
              </w:rPr>
              <w:t>colleague</w:t>
            </w:r>
            <w:r>
              <w:rPr>
                <w:sz w:val="19"/>
              </w:rPr>
              <w:t xml:space="preserve">, </w:t>
            </w:r>
            <w:r>
              <w:rPr>
                <w:rFonts w:ascii="Consolas" w:hAnsi="Consolas"/>
                <w:color w:val="9C274E"/>
                <w:sz w:val="18"/>
              </w:rPr>
              <w:t>introduced_by</w:t>
            </w:r>
            <w:r>
              <w:rPr>
                <w:sz w:val="19"/>
              </w:rPr>
              <w:t xml:space="preserve"> and </w:t>
            </w:r>
            <w:r>
              <w:rPr>
                <w:rFonts w:ascii="Consolas" w:hAnsi="Consolas"/>
                <w:color w:val="9C274E"/>
                <w:sz w:val="18"/>
              </w:rPr>
              <w:t>referred_by</w:t>
            </w:r>
            <w:r>
              <w:rPr>
                <w:sz w:val="19"/>
              </w:rPr>
              <w:t xml:space="preserve"> edges</w:t>
            </w:r>
          </w:p>
        </w:tc>
        <w:tc>
          <w:tcPr>
            <w:tcW w:type="dxa" w:w="3249"/>
            <w:shd w:val="clear" w:color="auto" w:fill="F4F6F9"/>
          </w:tcPr>
          <w:p>
            <w:pPr>
              <w:spacing w:after="40" w:before="40"/>
              <w:jc w:val="left"/>
            </w:pPr>
            <w:r>
              <w:rPr>
                <w:sz w:val="19"/>
              </w:rPr>
              <w:t>LinkedIn Sales Navigator TeamLink, outside the CRM</w:t>
            </w:r>
          </w:p>
        </w:tc>
      </w:tr>
      <w:tr>
        <w:tc>
          <w:tcPr>
            <w:tcW w:type="dxa" w:w="3249"/>
          </w:tcPr>
          <w:p>
            <w:pPr>
              <w:spacing w:after="40" w:before="40"/>
              <w:jc w:val="left"/>
            </w:pPr>
            <w:r>
              <w:rPr>
                <w:b/>
                <w:sz w:val="19"/>
              </w:rPr>
              <w:t>Has the champion gone quiet?</w:t>
            </w:r>
          </w:p>
        </w:tc>
        <w:tc>
          <w:tcPr>
            <w:tcW w:type="dxa" w:w="3249"/>
          </w:tcPr>
          <w:p>
            <w:pPr>
              <w:spacing w:after="40" w:before="40"/>
              <w:jc w:val="left"/>
            </w:pPr>
            <w:r>
              <w:rPr>
                <w:rFonts w:ascii="Consolas" w:hAnsi="Consolas"/>
                <w:color w:val="9C274E"/>
                <w:sz w:val="18"/>
              </w:rPr>
              <w:t>strength</w:t>
            </w:r>
            <w:r>
              <w:rPr>
                <w:sz w:val="19"/>
              </w:rPr>
              <w:t xml:space="preserve"> decay plus </w:t>
            </w:r>
            <w:r>
              <w:rPr>
                <w:rFonts w:ascii="Consolas" w:hAnsi="Consolas"/>
                <w:color w:val="9C274E"/>
                <w:sz w:val="18"/>
              </w:rPr>
              <w:t>last_interaction_at</w:t>
            </w:r>
            <w:r>
              <w:rPr>
                <w:sz w:val="19"/>
              </w:rPr>
              <w:t xml:space="preserve"> on the </w:t>
            </w:r>
            <w:r>
              <w:rPr>
                <w:rFonts w:ascii="Consolas" w:hAnsi="Consolas"/>
                <w:color w:val="9C274E"/>
                <w:sz w:val="18"/>
              </w:rPr>
              <w:t>champion</w:t>
            </w:r>
            <w:r>
              <w:rPr>
                <w:sz w:val="19"/>
              </w:rPr>
              <w:t xml:space="preserve"> edge</w:t>
            </w:r>
          </w:p>
        </w:tc>
        <w:tc>
          <w:tcPr>
            <w:tcW w:type="dxa" w:w="3249"/>
          </w:tcPr>
          <w:p>
            <w:pPr>
              <w:spacing w:after="40" w:before="40"/>
              <w:jc w:val="left"/>
            </w:pPr>
            <w:r>
              <w:rPr>
                <w:sz w:val="19"/>
              </w:rPr>
              <w:t>Attio follow-up assistant, at contact level only</w:t>
            </w:r>
          </w:p>
        </w:tc>
      </w:tr>
      <w:tr>
        <w:tc>
          <w:tcPr>
            <w:tcW w:type="dxa" w:w="3249"/>
            <w:shd w:val="clear" w:color="auto" w:fill="F4F6F9"/>
          </w:tcPr>
          <w:p>
            <w:pPr>
              <w:spacing w:after="40" w:before="40"/>
              <w:jc w:val="left"/>
            </w:pPr>
            <w:r>
              <w:rPr>
                <w:b/>
                <w:sz w:val="19"/>
              </w:rPr>
              <w:t>Did our champion just leave?</w:t>
            </w:r>
          </w:p>
        </w:tc>
        <w:tc>
          <w:tcPr>
            <w:tcW w:type="dxa" w:w="3249"/>
            <w:shd w:val="clear" w:color="auto" w:fill="F4F6F9"/>
          </w:tcPr>
          <w:p>
            <w:pPr>
              <w:spacing w:after="40" w:before="40"/>
              <w:jc w:val="left"/>
            </w:pPr>
            <w:r>
              <w:rPr>
                <w:rFonts w:ascii="Consolas" w:hAnsi="Consolas"/>
                <w:color w:val="9C274E"/>
                <w:sz w:val="18"/>
              </w:rPr>
              <w:t>employer</w:t>
            </w:r>
            <w:r>
              <w:rPr>
                <w:sz w:val="19"/>
              </w:rPr>
              <w:t xml:space="preserve"> edge closes with an </w:t>
            </w:r>
            <w:r>
              <w:rPr>
                <w:rFonts w:ascii="Consolas" w:hAnsi="Consolas"/>
                <w:color w:val="9C274E"/>
                <w:sz w:val="18"/>
              </w:rPr>
              <w:t>until</w:t>
            </w:r>
            <w:r>
              <w:rPr>
                <w:sz w:val="19"/>
              </w:rPr>
              <w:t xml:space="preserve"> date; every open deal touching them flags</w:t>
            </w:r>
          </w:p>
        </w:tc>
        <w:tc>
          <w:tcPr>
            <w:tcW w:type="dxa" w:w="3249"/>
            <w:shd w:val="clear" w:color="auto" w:fill="F4F6F9"/>
          </w:tcPr>
          <w:p>
            <w:pPr>
              <w:spacing w:after="40" w:before="40"/>
              <w:jc w:val="left"/>
            </w:pPr>
            <w:r>
              <w:rPr>
                <w:sz w:val="19"/>
              </w:rPr>
              <w:t>Nobody</w:t>
            </w:r>
          </w:p>
        </w:tc>
      </w:tr>
      <w:tr>
        <w:tc>
          <w:tcPr>
            <w:tcW w:type="dxa" w:w="3249"/>
          </w:tcPr>
          <w:p>
            <w:pPr>
              <w:spacing w:after="40" w:before="40"/>
              <w:jc w:val="left"/>
            </w:pPr>
            <w:r>
              <w:rPr>
                <w:b/>
                <w:sz w:val="19"/>
              </w:rPr>
              <w:t>Which relationships actually generate revenue?</w:t>
            </w:r>
          </w:p>
        </w:tc>
        <w:tc>
          <w:tcPr>
            <w:tcW w:type="dxa" w:w="3249"/>
          </w:tcPr>
          <w:p>
            <w:pPr>
              <w:spacing w:after="40" w:before="40"/>
              <w:jc w:val="left"/>
            </w:pPr>
            <w:r>
              <w:rPr>
                <w:sz w:val="19"/>
              </w:rPr>
              <w:t xml:space="preserve">Walk </w:t>
            </w:r>
            <w:r>
              <w:rPr>
                <w:rFonts w:ascii="Consolas" w:hAnsi="Consolas"/>
                <w:color w:val="9C274E"/>
                <w:sz w:val="18"/>
              </w:rPr>
              <w:t>referred_by</w:t>
            </w:r>
            <w:r>
              <w:rPr>
                <w:sz w:val="19"/>
              </w:rPr>
              <w:t xml:space="preserve"> from every </w:t>
            </w:r>
            <w:r>
              <w:rPr>
                <w:rFonts w:ascii="Consolas" w:hAnsi="Consolas"/>
                <w:color w:val="9C274E"/>
                <w:sz w:val="18"/>
              </w:rPr>
              <w:t>closed_won</w:t>
            </w:r>
            <w:r>
              <w:rPr>
                <w:sz w:val="19"/>
              </w:rPr>
              <w:t xml:space="preserve"> deal to find the people worth investing in</w:t>
            </w:r>
          </w:p>
        </w:tc>
        <w:tc>
          <w:tcPr>
            <w:tcW w:type="dxa" w:w="3249"/>
          </w:tcPr>
          <w:p>
            <w:pPr>
              <w:spacing w:after="40" w:before="40"/>
              <w:jc w:val="left"/>
            </w:pPr>
            <w:r>
              <w:rPr>
                <w:sz w:val="19"/>
              </w:rPr>
              <w:t>Nobody</w:t>
            </w:r>
          </w:p>
        </w:tc>
      </w:tr>
      <w:tr>
        <w:tc>
          <w:tcPr>
            <w:tcW w:type="dxa" w:w="3249"/>
            <w:shd w:val="clear" w:color="auto" w:fill="F4F6F9"/>
          </w:tcPr>
          <w:p>
            <w:pPr>
              <w:spacing w:after="40" w:before="40"/>
              <w:jc w:val="left"/>
            </w:pPr>
            <w:r>
              <w:rPr>
                <w:b/>
                <w:sz w:val="19"/>
              </w:rPr>
              <w:t>Who else should be in the room?</w:t>
            </w:r>
          </w:p>
        </w:tc>
        <w:tc>
          <w:tcPr>
            <w:tcW w:type="dxa" w:w="3249"/>
            <w:shd w:val="clear" w:color="auto" w:fill="F4F6F9"/>
          </w:tcPr>
          <w:p>
            <w:pPr>
              <w:spacing w:after="40" w:before="40"/>
              <w:jc w:val="left"/>
            </w:pPr>
            <w:r>
              <w:rPr>
                <w:rFonts w:ascii="Consolas" w:hAnsi="Consolas"/>
                <w:color w:val="9C274E"/>
                <w:sz w:val="18"/>
              </w:rPr>
              <w:t>Relationship.neighbors</w:t>
            </w:r>
            <w:r>
              <w:rPr>
                <w:sz w:val="19"/>
              </w:rPr>
              <w:t xml:space="preserve"> on the account, minus everyone already a </w:t>
            </w:r>
            <w:r>
              <w:rPr>
                <w:rFonts w:ascii="Consolas" w:hAnsi="Consolas"/>
                <w:color w:val="9C274E"/>
                <w:sz w:val="18"/>
              </w:rPr>
              <w:t>DealContact</w:t>
            </w:r>
          </w:p>
        </w:tc>
        <w:tc>
          <w:tcPr>
            <w:tcW w:type="dxa" w:w="3249"/>
            <w:shd w:val="clear" w:color="auto" w:fill="F4F6F9"/>
          </w:tcPr>
          <w:p>
            <w:pPr>
              <w:spacing w:after="40" w:before="40"/>
              <w:jc w:val="left"/>
            </w:pPr>
            <w:r>
              <w:rPr>
                <w:sz w:val="19"/>
              </w:rPr>
              <w:t>Salesforce relationship maps, manually maintained</w:t>
            </w:r>
          </w:p>
        </w:tc>
      </w:tr>
    </w:tbl>
    <w:p>
      <w:pPr>
        <w:spacing w:after="80"/>
      </w:pPr>
    </w:p>
    <w:p>
      <w:r>
        <w:t>The last three are the interesting ones, because they are not features anybody is currently selling. They fall out almost for free once the edges exist and can be walked.</w:t>
      </w:r>
    </w:p>
    <w:p>
      <w:r>
        <w:rPr>
          <w:b/>
        </w:rPr>
        <w:t>The commercial framing:</w:t>
      </w:r>
      <w:r>
        <w:t xml:space="preserve"> every competitor sells </w:t>
      </w:r>
      <w:r>
        <w:rPr>
          <w:i/>
        </w:rPr>
        <w:t>pipeline</w:t>
      </w:r>
      <w:r>
        <w:t xml:space="preserve"> intelligence — stage, value, probability, close date, all attributes of the deal record. AgentSwitch would sell </w:t>
      </w:r>
      <w:r>
        <w:rPr>
          <w:i/>
        </w:rPr>
        <w:t>relationship</w:t>
      </w:r>
      <w:r>
        <w:t xml:space="preserve"> intelligence: who is involved, how strongly, through whom, and how that is changing. Deal risk stops being a probability field somebody typed in and becomes something derived from observed human behaviour, with the job ledger able to prove where every inference came from.</w:t>
      </w:r>
    </w:p>
    <w:p>
      <w:pPr>
        <w:pStyle w:val="Heading3"/>
      </w:pPr>
      <w:r>
        <w:t>5.5 Why this one is not catch-up work</w:t>
      </w:r>
    </w:p>
    <w:p>
      <w:r>
        <w:t>Attio models declared record relationships. Clay enriches individuals rather than networks. Day.ai builds customer memory from email and calls but not a traversable graph. Salesforce shelved Einstein Relationship Insights. Warm-path routing mostly lives in LinkedIn Sales Navigator — outside the CRM entirely.</w:t>
      </w:r>
    </w:p>
    <w:p>
      <w:r>
        <w:t xml:space="preserve">Paired with the job ledger, AgentSwitch could answer </w:t>
      </w:r>
      <w:r>
        <w:rPr>
          <w:i/>
        </w:rPr>
        <w:t>"why does the system believe these two people are connected"</w:t>
      </w:r>
      <w:r>
        <w:t xml:space="preserve"> with provenance no competitor can produce.</w:t>
      </w:r>
    </w:p>
    <w:p>
      <w:pPr>
        <w:spacing w:before="80" w:after="200"/>
        <w:pBdr>
          <w:bottom w:val="single" w:sz="8" w:space="8" w:color="C9D1DC"/>
        </w:pBdr>
      </w:pPr>
      <w:r>
        <w:br w:type="page"/>
      </w:r>
    </w:p>
    <w:p>
      <w:pPr>
        <w:pStyle w:val="Heading2"/>
      </w:pPr>
      <w:r>
        <w:t>6. Defensible advantages</w:t>
      </w:r>
    </w:p>
    <w:p>
      <w:pPr>
        <w:pStyle w:val="Heading3"/>
      </w:pPr>
      <w:r>
        <w:t>6.1 Shipped today, and unmarketed</w:t>
      </w:r>
    </w:p>
    <w:p>
      <w:r>
        <w:t xml:space="preserve">The gap register is long, but almost all of it is catch-up on well-understood ground. These six are the opposite: </w:t>
      </w:r>
      <w:r>
        <w:rPr>
          <w:b/>
        </w:rPr>
        <w:t>already built, hard to copy, and currently not part of the pitch.</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2436"/>
        <w:gridCol w:w="2436"/>
        <w:gridCol w:w="2436"/>
        <w:gridCol w:w="2436"/>
      </w:tblGrid>
      <w:tr>
        <w:trPr>
          <w:tblHeader w:val="true"/>
        </w:trPr>
        <w:tc>
          <w:tcPr>
            <w:tcW w:type="dxa" w:w="2436"/>
            <w:shd w:val="clear" w:color="auto" w:fill="1F3864"/>
          </w:tcPr>
          <w:p>
            <w:pPr>
              <w:spacing w:after="40" w:before="40"/>
              <w:jc w:val="left"/>
            </w:pPr>
            <w:r>
              <w:rPr>
                <w:b/>
                <w:color w:val="FFFFFF"/>
                <w:sz w:val="19"/>
              </w:rPr>
              <w:t>#</w:t>
            </w:r>
          </w:p>
        </w:tc>
        <w:tc>
          <w:tcPr>
            <w:tcW w:type="dxa" w:w="2436"/>
            <w:shd w:val="clear" w:color="auto" w:fill="1F3864"/>
          </w:tcPr>
          <w:p>
            <w:pPr>
              <w:spacing w:after="40" w:before="40"/>
              <w:jc w:val="left"/>
            </w:pPr>
            <w:r>
              <w:rPr>
                <w:b/>
                <w:color w:val="FFFFFF"/>
                <w:sz w:val="19"/>
              </w:rPr>
              <w:t>Advantage</w:t>
            </w:r>
          </w:p>
        </w:tc>
        <w:tc>
          <w:tcPr>
            <w:tcW w:type="dxa" w:w="2436"/>
            <w:shd w:val="clear" w:color="auto" w:fill="1F3864"/>
          </w:tcPr>
          <w:p>
            <w:pPr>
              <w:spacing w:after="40" w:before="40"/>
              <w:jc w:val="left"/>
            </w:pPr>
            <w:r>
              <w:rPr>
                <w:b/>
                <w:color w:val="FFFFFF"/>
                <w:sz w:val="19"/>
              </w:rPr>
              <w:t>What it is</w:t>
            </w:r>
          </w:p>
        </w:tc>
        <w:tc>
          <w:tcPr>
            <w:tcW w:type="dxa" w:w="2436"/>
            <w:shd w:val="clear" w:color="auto" w:fill="1F3864"/>
          </w:tcPr>
          <w:p>
            <w:pPr>
              <w:spacing w:after="40" w:before="40"/>
              <w:jc w:val="left"/>
            </w:pPr>
            <w:r>
              <w:rPr>
                <w:b/>
                <w:color w:val="FFFFFF"/>
                <w:sz w:val="19"/>
              </w:rPr>
              <w:t>How to position it</w:t>
            </w:r>
          </w:p>
        </w:tc>
      </w:tr>
      <w:tr>
        <w:tc>
          <w:tcPr>
            <w:tcW w:type="dxa" w:w="2436"/>
          </w:tcPr>
          <w:p>
            <w:pPr>
              <w:spacing w:after="40" w:before="40"/>
              <w:jc w:val="left"/>
            </w:pPr>
            <w:r>
              <w:rPr>
                <w:sz w:val="19"/>
              </w:rPr>
              <w:t>1</w:t>
            </w:r>
          </w:p>
        </w:tc>
        <w:tc>
          <w:tcPr>
            <w:tcW w:type="dxa" w:w="2436"/>
          </w:tcPr>
          <w:p>
            <w:pPr>
              <w:spacing w:after="40" w:before="40"/>
              <w:jc w:val="left"/>
            </w:pPr>
            <w:r>
              <w:rPr>
                <w:b/>
                <w:sz w:val="19"/>
              </w:rPr>
              <w:t>Tamper-evident job ledger</w:t>
            </w:r>
          </w:p>
        </w:tc>
        <w:tc>
          <w:tcPr>
            <w:tcW w:type="dxa" w:w="2436"/>
          </w:tcPr>
          <w:p>
            <w:pPr>
              <w:spacing w:after="40" w:before="40"/>
              <w:jc w:val="left"/>
            </w:pPr>
            <w:r>
              <w:rPr>
                <w:rFonts w:ascii="Consolas" w:hAnsi="Consolas"/>
                <w:color w:val="9C274E"/>
                <w:sz w:val="18"/>
              </w:rPr>
              <w:t>AgentLedgerSeal</w:t>
            </w:r>
            <w:r>
              <w:rPr>
                <w:sz w:val="19"/>
              </w:rPr>
              <w:t xml:space="preserve"> with </w:t>
            </w:r>
            <w:r>
              <w:rPr>
                <w:rFonts w:ascii="Consolas" w:hAnsi="Consolas"/>
                <w:color w:val="9C274E"/>
                <w:sz w:val="18"/>
              </w:rPr>
              <w:t>job_ledger.verify</w:t>
            </w:r>
            <w:r>
              <w:rPr>
                <w:sz w:val="19"/>
              </w:rPr>
              <w:t xml:space="preserve">, </w:t>
            </w:r>
            <w:r>
              <w:rPr>
                <w:rFonts w:ascii="Consolas" w:hAnsi="Consolas"/>
                <w:color w:val="9C274E"/>
                <w:sz w:val="18"/>
              </w:rPr>
              <w:t>.replay</w:t>
            </w:r>
            <w:r>
              <w:rPr>
                <w:sz w:val="19"/>
              </w:rPr>
              <w:t xml:space="preserve"> and </w:t>
            </w:r>
            <w:r>
              <w:rPr>
                <w:rFonts w:ascii="Consolas" w:hAnsi="Consolas"/>
                <w:color w:val="9C274E"/>
                <w:sz w:val="18"/>
              </w:rPr>
              <w:t>.forensics</w:t>
            </w:r>
            <w:r>
              <w:rPr>
                <w:sz w:val="19"/>
              </w:rPr>
              <w:t xml:space="preserve"> — any agent action can be re-derived and proven after the fact</w:t>
            </w:r>
          </w:p>
        </w:tc>
        <w:tc>
          <w:tcPr>
            <w:tcW w:type="dxa" w:w="2436"/>
          </w:tcPr>
          <w:p>
            <w:pPr>
              <w:spacing w:after="40" w:before="40"/>
              <w:jc w:val="left"/>
            </w:pPr>
            <w:r>
              <w:rPr>
                <w:sz w:val="19"/>
              </w:rPr>
              <w:t xml:space="preserve">The answer to </w:t>
            </w:r>
            <w:r>
              <w:rPr>
                <w:i/>
                <w:sz w:val="19"/>
              </w:rPr>
              <w:t>"prove what your agent did."</w:t>
            </w:r>
            <w:r>
              <w:rPr>
                <w:sz w:val="19"/>
              </w:rPr>
              <w:t xml:space="preserve"> Agentforce offers telemetry; none of the set offers cryptographic replay</w:t>
            </w:r>
          </w:p>
        </w:tc>
      </w:tr>
      <w:tr>
        <w:tc>
          <w:tcPr>
            <w:tcW w:type="dxa" w:w="2436"/>
            <w:shd w:val="clear" w:color="auto" w:fill="F4F6F9"/>
          </w:tcPr>
          <w:p>
            <w:pPr>
              <w:spacing w:after="40" w:before="40"/>
              <w:jc w:val="left"/>
            </w:pPr>
            <w:r>
              <w:rPr>
                <w:sz w:val="19"/>
              </w:rPr>
              <w:t>2</w:t>
            </w:r>
          </w:p>
        </w:tc>
        <w:tc>
          <w:tcPr>
            <w:tcW w:type="dxa" w:w="2436"/>
            <w:shd w:val="clear" w:color="auto" w:fill="F4F6F9"/>
          </w:tcPr>
          <w:p>
            <w:pPr>
              <w:spacing w:after="40" w:before="40"/>
              <w:jc w:val="left"/>
            </w:pPr>
            <w:r>
              <w:rPr>
                <w:b/>
                <w:sz w:val="19"/>
              </w:rPr>
              <w:t>Privacy in the runtime</w:t>
            </w:r>
          </w:p>
        </w:tc>
        <w:tc>
          <w:tcPr>
            <w:tcW w:type="dxa" w:w="2436"/>
            <w:shd w:val="clear" w:color="auto" w:fill="F4F6F9"/>
          </w:tcPr>
          <w:p>
            <w:pPr>
              <w:spacing w:after="40" w:before="40"/>
              <w:jc w:val="left"/>
            </w:pPr>
            <w:r>
              <w:rPr>
                <w:rFonts w:ascii="Consolas" w:hAnsi="Consolas"/>
                <w:color w:val="9C274E"/>
                <w:sz w:val="18"/>
              </w:rPr>
              <w:t>PrivacyRequest</w:t>
            </w:r>
            <w:r>
              <w:rPr>
                <w:sz w:val="19"/>
              </w:rPr>
              <w:t xml:space="preserve">, </w:t>
            </w:r>
            <w:r>
              <w:rPr>
                <w:rFonts w:ascii="Consolas" w:hAnsi="Consolas"/>
                <w:color w:val="9C274E"/>
                <w:sz w:val="18"/>
              </w:rPr>
              <w:t>AgentPrivacyEvent</w:t>
            </w:r>
            <w:r>
              <w:rPr>
                <w:sz w:val="19"/>
              </w:rPr>
              <w:t xml:space="preserve">, </w:t>
            </w:r>
            <w:r>
              <w:rPr>
                <w:rFonts w:ascii="Consolas" w:hAnsi="Consolas"/>
                <w:color w:val="9C274E"/>
                <w:sz w:val="18"/>
              </w:rPr>
              <w:t>PrivacyAuditEvent</w:t>
            </w:r>
            <w:r>
              <w:rPr>
                <w:sz w:val="19"/>
              </w:rPr>
              <w:t xml:space="preserve">, </w:t>
            </w:r>
            <w:r>
              <w:rPr>
                <w:rFonts w:ascii="Consolas" w:hAnsi="Consolas"/>
                <w:color w:val="9C274E"/>
                <w:sz w:val="18"/>
              </w:rPr>
              <w:t>AgentRetentionRule</w:t>
            </w:r>
            <w:r>
              <w:rPr>
                <w:sz w:val="19"/>
              </w:rPr>
              <w:t xml:space="preserve">, </w:t>
            </w:r>
            <w:r>
              <w:rPr>
                <w:rFonts w:ascii="Consolas" w:hAnsi="Consolas"/>
                <w:color w:val="9C274E"/>
                <w:sz w:val="18"/>
              </w:rPr>
              <w:t>LedgerRetentionPolicy</w:t>
            </w:r>
            <w:r>
              <w:rPr>
                <w:sz w:val="19"/>
              </w:rPr>
              <w:t xml:space="preserve">, and a </w:t>
            </w:r>
            <w:r>
              <w:rPr>
                <w:rFonts w:ascii="Consolas" w:hAnsi="Consolas"/>
                <w:color w:val="9C274E"/>
                <w:sz w:val="18"/>
              </w:rPr>
              <w:t>forget/preview</w:t>
            </w:r>
            <w:r>
              <w:rPr>
                <w:sz w:val="19"/>
              </w:rPr>
              <w:t xml:space="preserve"> showing blast radius before deletion</w:t>
            </w:r>
          </w:p>
        </w:tc>
        <w:tc>
          <w:tcPr>
            <w:tcW w:type="dxa" w:w="2436"/>
            <w:shd w:val="clear" w:color="auto" w:fill="F4F6F9"/>
          </w:tcPr>
          <w:p>
            <w:pPr>
              <w:spacing w:after="40" w:before="40"/>
              <w:jc w:val="left"/>
            </w:pPr>
            <w:r>
              <w:rPr>
                <w:sz w:val="19"/>
              </w:rPr>
              <w:t>DPDP and GDPR readiness as a platform property, not a policy document. Direct wedge into BFSI, healthcare and education</w:t>
            </w:r>
          </w:p>
        </w:tc>
      </w:tr>
      <w:tr>
        <w:tc>
          <w:tcPr>
            <w:tcW w:type="dxa" w:w="2436"/>
          </w:tcPr>
          <w:p>
            <w:pPr>
              <w:spacing w:after="40" w:before="40"/>
              <w:jc w:val="left"/>
            </w:pPr>
            <w:r>
              <w:rPr>
                <w:sz w:val="19"/>
              </w:rPr>
              <w:t>3</w:t>
            </w:r>
          </w:p>
        </w:tc>
        <w:tc>
          <w:tcPr>
            <w:tcW w:type="dxa" w:w="2436"/>
          </w:tcPr>
          <w:p>
            <w:pPr>
              <w:spacing w:after="40" w:before="40"/>
              <w:jc w:val="left"/>
            </w:pPr>
            <w:r>
              <w:rPr>
                <w:b/>
                <w:sz w:val="19"/>
              </w:rPr>
              <w:t>Governance before execution</w:t>
            </w:r>
          </w:p>
        </w:tc>
        <w:tc>
          <w:tcPr>
            <w:tcW w:type="dxa" w:w="2436"/>
          </w:tcPr>
          <w:p>
            <w:pPr>
              <w:spacing w:after="40" w:before="40"/>
              <w:jc w:val="left"/>
            </w:pPr>
            <w:r>
              <w:rPr>
                <w:rFonts w:ascii="Consolas" w:hAnsi="Consolas"/>
                <w:color w:val="9C274E"/>
                <w:sz w:val="18"/>
              </w:rPr>
              <w:t>AgentToolPolicy</w:t>
            </w:r>
            <w:r>
              <w:rPr>
                <w:sz w:val="19"/>
              </w:rPr>
              <w:t xml:space="preserve">, </w:t>
            </w:r>
            <w:r>
              <w:rPr>
                <w:rFonts w:ascii="Consolas" w:hAnsi="Consolas"/>
                <w:color w:val="9C274E"/>
                <w:sz w:val="18"/>
              </w:rPr>
              <w:t>AgentFloorConfig</w:t>
            </w:r>
            <w:r>
              <w:rPr>
                <w:sz w:val="19"/>
              </w:rPr>
              <w:t xml:space="preserve">, </w:t>
            </w:r>
            <w:r>
              <w:rPr>
                <w:rFonts w:ascii="Consolas" w:hAnsi="Consolas"/>
                <w:color w:val="9C274E"/>
                <w:sz w:val="18"/>
              </w:rPr>
              <w:t>AgentSeat</w:t>
            </w:r>
            <w:r>
              <w:rPr>
                <w:sz w:val="19"/>
              </w:rPr>
              <w:t xml:space="preserve"> and </w:t>
            </w:r>
            <w:r>
              <w:rPr>
                <w:rFonts w:ascii="Consolas" w:hAnsi="Consolas"/>
                <w:color w:val="9C274E"/>
                <w:sz w:val="18"/>
              </w:rPr>
              <w:t>AgentPersona.daily_limits</w:t>
            </w:r>
            <w:r>
              <w:rPr>
                <w:sz w:val="19"/>
              </w:rPr>
              <w:t xml:space="preserve"> cap spend and reach per persona, with a hard block when exhausted</w:t>
            </w:r>
          </w:p>
        </w:tc>
        <w:tc>
          <w:tcPr>
            <w:tcW w:type="dxa" w:w="2436"/>
          </w:tcPr>
          <w:p>
            <w:pPr>
              <w:spacing w:after="40" w:before="40"/>
              <w:jc w:val="left"/>
            </w:pPr>
            <w:r>
              <w:rPr>
                <w:sz w:val="19"/>
              </w:rPr>
              <w:t>The counter to the unpredictable-bill complaint following Agentforce consumption pricing and Copilot Studio credits</w:t>
            </w:r>
          </w:p>
        </w:tc>
      </w:tr>
      <w:tr>
        <w:tc>
          <w:tcPr>
            <w:tcW w:type="dxa" w:w="2436"/>
            <w:shd w:val="clear" w:color="auto" w:fill="F4F6F9"/>
          </w:tcPr>
          <w:p>
            <w:pPr>
              <w:spacing w:after="40" w:before="40"/>
              <w:jc w:val="left"/>
            </w:pPr>
            <w:r>
              <w:rPr>
                <w:sz w:val="19"/>
              </w:rPr>
              <w:t>4</w:t>
            </w:r>
          </w:p>
        </w:tc>
        <w:tc>
          <w:tcPr>
            <w:tcW w:type="dxa" w:w="2436"/>
            <w:shd w:val="clear" w:color="auto" w:fill="F4F6F9"/>
          </w:tcPr>
          <w:p>
            <w:pPr>
              <w:spacing w:after="40" w:before="40"/>
              <w:jc w:val="left"/>
            </w:pPr>
            <w:r>
              <w:rPr>
                <w:b/>
                <w:sz w:val="19"/>
              </w:rPr>
              <w:t>Caller-scoped tool discovery</w:t>
            </w:r>
          </w:p>
        </w:tc>
        <w:tc>
          <w:tcPr>
            <w:tcW w:type="dxa" w:w="2436"/>
            <w:shd w:val="clear" w:color="auto" w:fill="F4F6F9"/>
          </w:tcPr>
          <w:p>
            <w:pPr>
              <w:spacing w:after="40" w:before="40"/>
              <w:jc w:val="left"/>
            </w:pPr>
            <w:r>
              <w:rPr>
                <w:rFonts w:ascii="Consolas" w:hAnsi="Consolas"/>
                <w:color w:val="9C274E"/>
                <w:sz w:val="18"/>
              </w:rPr>
              <w:t>_meta.agentswitch.discovery: "caller"</w:t>
            </w:r>
            <w:r>
              <w:rPr>
                <w:sz w:val="19"/>
              </w:rPr>
              <w:t xml:space="preserve"> — </w:t>
            </w:r>
            <w:r>
              <w:rPr>
                <w:rFonts w:ascii="Consolas" w:hAnsi="Consolas"/>
                <w:color w:val="9C274E"/>
                <w:sz w:val="18"/>
              </w:rPr>
              <w:t>tools/list</w:t>
            </w:r>
            <w:r>
              <w:rPr>
                <w:sz w:val="19"/>
              </w:rPr>
              <w:t xml:space="preserve"> returns only what the caller's roles, entitlements and row scope permit</w:t>
            </w:r>
          </w:p>
        </w:tc>
        <w:tc>
          <w:tcPr>
            <w:tcW w:type="dxa" w:w="2436"/>
            <w:shd w:val="clear" w:color="auto" w:fill="F4F6F9"/>
          </w:tcPr>
          <w:p>
            <w:pPr>
              <w:spacing w:after="40" w:before="40"/>
              <w:jc w:val="left"/>
            </w:pPr>
            <w:r>
              <w:rPr>
                <w:sz w:val="19"/>
              </w:rPr>
              <w:t>Server-side enforcement versus Attio's client-side write confirmation. The boundary holds against a hostile client</w:t>
            </w:r>
          </w:p>
        </w:tc>
      </w:tr>
      <w:tr>
        <w:tc>
          <w:tcPr>
            <w:tcW w:type="dxa" w:w="2436"/>
          </w:tcPr>
          <w:p>
            <w:pPr>
              <w:spacing w:after="40" w:before="40"/>
              <w:jc w:val="left"/>
            </w:pPr>
            <w:r>
              <w:rPr>
                <w:sz w:val="19"/>
              </w:rPr>
              <w:t>5</w:t>
            </w:r>
          </w:p>
        </w:tc>
        <w:tc>
          <w:tcPr>
            <w:tcW w:type="dxa" w:w="2436"/>
          </w:tcPr>
          <w:p>
            <w:pPr>
              <w:spacing w:after="40" w:before="40"/>
              <w:jc w:val="left"/>
            </w:pPr>
            <w:r>
              <w:rPr>
                <w:b/>
                <w:sz w:val="19"/>
              </w:rPr>
              <w:t>Mission control for an agent workforce</w:t>
            </w:r>
          </w:p>
        </w:tc>
        <w:tc>
          <w:tcPr>
            <w:tcW w:type="dxa" w:w="2436"/>
          </w:tcPr>
          <w:p>
            <w:pPr>
              <w:spacing w:after="40" w:before="40"/>
              <w:jc w:val="left"/>
            </w:pPr>
            <w:r>
              <w:rPr>
                <w:rFonts w:ascii="Consolas" w:hAnsi="Consolas"/>
                <w:color w:val="9C274E"/>
                <w:sz w:val="18"/>
              </w:rPr>
              <w:t>staffing_forecast</w:t>
            </w:r>
            <w:r>
              <w:rPr>
                <w:sz w:val="19"/>
              </w:rPr>
              <w:t xml:space="preserve">, </w:t>
            </w:r>
            <w:r>
              <w:rPr>
                <w:rFonts w:ascii="Consolas" w:hAnsi="Consolas"/>
                <w:color w:val="9C274E"/>
                <w:sz w:val="18"/>
              </w:rPr>
              <w:t>incidents</w:t>
            </w:r>
            <w:r>
              <w:rPr>
                <w:sz w:val="19"/>
              </w:rPr>
              <w:t xml:space="preserve">, </w:t>
            </w:r>
            <w:r>
              <w:rPr>
                <w:rFonts w:ascii="Consolas" w:hAnsi="Consolas"/>
                <w:color w:val="9C274E"/>
                <w:sz w:val="18"/>
              </w:rPr>
              <w:t>incident_timeline</w:t>
            </w:r>
            <w:r>
              <w:rPr>
                <w:sz w:val="19"/>
              </w:rPr>
              <w:t xml:space="preserve">, </w:t>
            </w:r>
            <w:r>
              <w:rPr>
                <w:rFonts w:ascii="Consolas" w:hAnsi="Consolas"/>
                <w:color w:val="9C274E"/>
                <w:sz w:val="18"/>
              </w:rPr>
              <w:t>runbooks</w:t>
            </w:r>
            <w:r>
              <w:rPr>
                <w:sz w:val="19"/>
              </w:rPr>
              <w:t xml:space="preserve"> — agents as a fleet to be operated, not features to be toggled</w:t>
            </w:r>
          </w:p>
        </w:tc>
        <w:tc>
          <w:tcPr>
            <w:tcW w:type="dxa" w:w="2436"/>
          </w:tcPr>
          <w:p>
            <w:pPr>
              <w:spacing w:after="40" w:before="40"/>
              <w:jc w:val="left"/>
            </w:pPr>
            <w:r>
              <w:rPr>
                <w:sz w:val="19"/>
              </w:rPr>
              <w:t>Nobody else frames agents as a staffed floor; pairs naturally with per-seat and per-persona budget reporting</w:t>
            </w:r>
          </w:p>
        </w:tc>
      </w:tr>
      <w:tr>
        <w:tc>
          <w:tcPr>
            <w:tcW w:type="dxa" w:w="2436"/>
            <w:shd w:val="clear" w:color="auto" w:fill="F4F6F9"/>
          </w:tcPr>
          <w:p>
            <w:pPr>
              <w:spacing w:after="40" w:before="40"/>
              <w:jc w:val="left"/>
            </w:pPr>
            <w:r>
              <w:rPr>
                <w:sz w:val="19"/>
              </w:rPr>
              <w:t>6</w:t>
            </w:r>
          </w:p>
        </w:tc>
        <w:tc>
          <w:tcPr>
            <w:tcW w:type="dxa" w:w="2436"/>
            <w:shd w:val="clear" w:color="auto" w:fill="F4F6F9"/>
          </w:tcPr>
          <w:p>
            <w:pPr>
              <w:spacing w:after="40" w:before="40"/>
              <w:jc w:val="left"/>
            </w:pPr>
            <w:r>
              <w:rPr>
                <w:b/>
                <w:sz w:val="19"/>
              </w:rPr>
              <w:t>Storefront and CRM on one ledger</w:t>
            </w:r>
          </w:p>
        </w:tc>
        <w:tc>
          <w:tcPr>
            <w:tcW w:type="dxa" w:w="2436"/>
            <w:shd w:val="clear" w:color="auto" w:fill="F4F6F9"/>
          </w:tcPr>
          <w:p>
            <w:pPr>
              <w:spacing w:after="40" w:before="40"/>
              <w:jc w:val="left"/>
            </w:pPr>
            <w:r>
              <w:rPr>
                <w:rFonts w:ascii="Consolas" w:hAnsi="Consolas"/>
                <w:color w:val="9C274E"/>
                <w:sz w:val="18"/>
              </w:rPr>
              <w:t>storefront.checkout</w:t>
            </w:r>
            <w:r>
              <w:rPr>
                <w:sz w:val="19"/>
              </w:rPr>
              <w:t xml:space="preserve">, </w:t>
            </w:r>
            <w:r>
              <w:rPr>
                <w:rFonts w:ascii="Consolas" w:hAnsi="Consolas"/>
                <w:color w:val="9C274E"/>
                <w:sz w:val="18"/>
              </w:rPr>
              <w:t>payment.verify</w:t>
            </w:r>
            <w:r>
              <w:rPr>
                <w:sz w:val="19"/>
              </w:rPr>
              <w:t xml:space="preserve">, </w:t>
            </w:r>
            <w:r>
              <w:rPr>
                <w:rFonts w:ascii="Consolas" w:hAnsi="Consolas"/>
                <w:color w:val="9C274E"/>
                <w:sz w:val="18"/>
              </w:rPr>
              <w:t>order.claim</w:t>
            </w:r>
            <w:r>
              <w:rPr>
                <w:sz w:val="19"/>
              </w:rPr>
              <w:t xml:space="preserve"> and collective booking write into the same permissioned record set as the CRM</w:t>
            </w:r>
          </w:p>
        </w:tc>
        <w:tc>
          <w:tcPr>
            <w:tcW w:type="dxa" w:w="2436"/>
            <w:shd w:val="clear" w:color="auto" w:fill="F4F6F9"/>
          </w:tcPr>
          <w:p>
            <w:pPr>
              <w:spacing w:after="40" w:before="40"/>
              <w:jc w:val="left"/>
            </w:pPr>
            <w:r>
              <w:rPr>
                <w:sz w:val="19"/>
              </w:rPr>
              <w:t>Removes the commerce-to-CRM connector Zoho and HubSpot buyers pay an integrator to maintain</w:t>
            </w:r>
          </w:p>
        </w:tc>
      </w:tr>
    </w:tbl>
    <w:p>
      <w:pPr>
        <w:spacing w:after="80"/>
      </w:pPr>
    </w:p>
    <w:p>
      <w:pPr>
        <w:pStyle w:val="Heading3"/>
      </w:pPr>
      <w:r>
        <w:t>6.2 The one to build: relationship intelligence on deals</w:t>
      </w:r>
    </w:p>
    <w:p>
      <w:r>
        <w:t xml:space="preserve">The six above are defensive — they keep us in rooms we would otherwise be thrown out of. This one is offensive, and it is the only item in this report that is both </w:t>
      </w:r>
      <w:r>
        <w:rPr>
          <w:b/>
        </w:rPr>
        <w:t>not yet built</w:t>
      </w:r>
      <w:r>
        <w:t xml:space="preserve"> and </w:t>
      </w:r>
      <w:r>
        <w:rPr>
          <w:b/>
        </w:rPr>
        <w:t>not held by anyone else</w:t>
      </w:r>
      <w:r>
        <w:t>.</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c>
          <w:tcPr>
            <w:tcW w:type="dxa" w:w="4873"/>
          </w:tcPr>
          <w:p>
            <w:pPr>
              <w:spacing w:after="40" w:before="40"/>
              <w:jc w:val="left"/>
            </w:pPr>
            <w:r>
              <w:rPr>
                <w:b/>
                <w:sz w:val="19"/>
              </w:rPr>
              <w:t>What it is</w:t>
            </w:r>
          </w:p>
        </w:tc>
        <w:tc>
          <w:tcPr>
            <w:tcW w:type="dxa" w:w="4873"/>
          </w:tcPr>
          <w:p>
            <w:pPr>
              <w:spacing w:after="40" w:before="40"/>
              <w:jc w:val="left"/>
            </w:pPr>
            <w:r>
              <w:rPr>
                <w:sz w:val="19"/>
              </w:rPr>
              <w:t>An observed, confirmable graph of who knows whom, walked at the deal level: buying committee, warm-intro path, champion decay, referral attribution (</w:t>
            </w:r>
            <w:hyperlink r:id="rId13">
              <w:r>
                <w:rPr>
                  <w:color w:val="2F5496"/>
                  <w:u w:val="single"/>
                </w:rPr>
                <w:t>section 5</w:t>
              </w:r>
            </w:hyperlink>
            <w:r>
              <w:rPr>
                <w:sz w:val="19"/>
              </w:rPr>
              <w:t>)</w:t>
            </w:r>
          </w:p>
        </w:tc>
      </w:tr>
      <w:tr>
        <w:tc>
          <w:tcPr>
            <w:tcW w:type="dxa" w:w="4873"/>
            <w:shd w:val="clear" w:color="auto" w:fill="F4F6F9"/>
          </w:tcPr>
          <w:p>
            <w:pPr>
              <w:spacing w:after="40" w:before="40"/>
              <w:jc w:val="left"/>
            </w:pPr>
            <w:r>
              <w:rPr>
                <w:b/>
                <w:sz w:val="19"/>
              </w:rPr>
              <w:t>Why it is ours to take</w:t>
            </w:r>
          </w:p>
        </w:tc>
        <w:tc>
          <w:tcPr>
            <w:tcW w:type="dxa" w:w="4873"/>
            <w:shd w:val="clear" w:color="auto" w:fill="F4F6F9"/>
          </w:tcPr>
          <w:p>
            <w:pPr>
              <w:spacing w:after="40" w:before="40"/>
              <w:jc w:val="left"/>
            </w:pPr>
            <w:r>
              <w:rPr>
                <w:sz w:val="19"/>
              </w:rPr>
              <w:t>Attio models declared record relationships. Clay enriches individuals, not networks. Day.ai builds memory but not a traversable graph. Salesforce shelved Einstein Relationship Insights. Warm-path routing lives in LinkedIn, outside the CRM</w:t>
            </w:r>
          </w:p>
        </w:tc>
      </w:tr>
      <w:tr>
        <w:tc>
          <w:tcPr>
            <w:tcW w:type="dxa" w:w="4873"/>
          </w:tcPr>
          <w:p>
            <w:pPr>
              <w:spacing w:after="40" w:before="40"/>
              <w:jc w:val="left"/>
            </w:pPr>
            <w:r>
              <w:rPr>
                <w:b/>
                <w:sz w:val="19"/>
              </w:rPr>
              <w:t>Why it is safe here</w:t>
            </w:r>
          </w:p>
        </w:tc>
        <w:tc>
          <w:tcPr>
            <w:tcW w:type="dxa" w:w="4873"/>
          </w:tcPr>
          <w:p>
            <w:pPr>
              <w:spacing w:after="40" w:before="40"/>
              <w:jc w:val="left"/>
            </w:pPr>
            <w:r>
              <w:rPr>
                <w:sz w:val="19"/>
              </w:rPr>
              <w:t xml:space="preserve">Observed edges are derived personal data. </w:t>
            </w:r>
            <w:r>
              <w:rPr>
                <w:rFonts w:ascii="Consolas" w:hAnsi="Consolas"/>
                <w:color w:val="9C274E"/>
                <w:sz w:val="18"/>
              </w:rPr>
              <w:t>PrivacyRequest</w:t>
            </w:r>
            <w:r>
              <w:rPr>
                <w:sz w:val="19"/>
              </w:rPr>
              <w:t xml:space="preserve"> and </w:t>
            </w:r>
            <w:r>
              <w:rPr>
                <w:rFonts w:ascii="Consolas" w:hAnsi="Consolas"/>
                <w:color w:val="9C274E"/>
                <w:sz w:val="18"/>
              </w:rPr>
              <w:t>privacy/forget/preview</w:t>
            </w:r>
            <w:r>
              <w:rPr>
                <w:sz w:val="19"/>
              </w:rPr>
              <w:t xml:space="preserve"> already exist, so the graph is DSAR-clean from day one — the thing that stops most vendors shipping this</w:t>
            </w:r>
          </w:p>
        </w:tc>
      </w:tr>
      <w:tr>
        <w:tc>
          <w:tcPr>
            <w:tcW w:type="dxa" w:w="4873"/>
            <w:shd w:val="clear" w:color="auto" w:fill="F4F6F9"/>
          </w:tcPr>
          <w:p>
            <w:pPr>
              <w:spacing w:after="40" w:before="40"/>
              <w:jc w:val="left"/>
            </w:pPr>
            <w:r>
              <w:rPr>
                <w:b/>
                <w:sz w:val="19"/>
              </w:rPr>
              <w:t>Why it is provable</w:t>
            </w:r>
          </w:p>
        </w:tc>
        <w:tc>
          <w:tcPr>
            <w:tcW w:type="dxa" w:w="4873"/>
            <w:shd w:val="clear" w:color="auto" w:fill="F4F6F9"/>
          </w:tcPr>
          <w:p>
            <w:pPr>
              <w:spacing w:after="40" w:before="40"/>
              <w:jc w:val="left"/>
            </w:pPr>
            <w:r>
              <w:rPr>
                <w:sz w:val="19"/>
              </w:rPr>
              <w:t xml:space="preserve">The job ledger can show exactly which interactions produced a given edge, so </w:t>
            </w:r>
            <w:r>
              <w:rPr>
                <w:i/>
                <w:sz w:val="19"/>
              </w:rPr>
              <w:t>"why do you think these two people know each other"</w:t>
            </w:r>
            <w:r>
              <w:rPr>
                <w:sz w:val="19"/>
              </w:rPr>
              <w:t xml:space="preserve"> has a cryptographic answer</w:t>
            </w:r>
          </w:p>
        </w:tc>
      </w:tr>
      <w:tr>
        <w:tc>
          <w:tcPr>
            <w:tcW w:type="dxa" w:w="4873"/>
          </w:tcPr>
          <w:p>
            <w:pPr>
              <w:spacing w:after="40" w:before="40"/>
              <w:jc w:val="left"/>
            </w:pPr>
            <w:r>
              <w:rPr>
                <w:b/>
                <w:sz w:val="19"/>
              </w:rPr>
              <w:t>Cost to get there</w:t>
            </w:r>
          </w:p>
        </w:tc>
        <w:tc>
          <w:tcPr>
            <w:tcW w:type="dxa" w:w="4873"/>
          </w:tcPr>
          <w:p>
            <w:pPr>
              <w:spacing w:after="40" w:before="40"/>
              <w:jc w:val="left"/>
            </w:pPr>
            <w:r>
              <w:rPr>
                <w:b/>
                <w:sz w:val="19"/>
              </w:rPr>
              <w:t>12 engineer-days, one engineer, inside the three-week sprint.</w:t>
            </w:r>
            <w:r>
              <w:rPr>
                <w:sz w:val="19"/>
              </w:rPr>
              <w:t xml:space="preserve"> </w:t>
            </w:r>
            <w:r>
              <w:rPr>
                <w:rFonts w:ascii="Consolas" w:hAnsi="Consolas"/>
                <w:color w:val="9C274E"/>
                <w:sz w:val="18"/>
              </w:rPr>
              <w:t>P0-8</w:t>
            </w:r>
            <w:r>
              <w:rPr>
                <w:sz w:val="19"/>
              </w:rPr>
              <w:t xml:space="preserve"> unblocks it and </w:t>
            </w:r>
            <w:r>
              <w:rPr>
                <w:rFonts w:ascii="Consolas" w:hAnsi="Consolas"/>
                <w:color w:val="9C274E"/>
                <w:sz w:val="18"/>
              </w:rPr>
              <w:t>P1-18</w:t>
            </w:r>
            <w:r>
              <w:rPr>
                <w:sz w:val="19"/>
              </w:rPr>
              <w:t xml:space="preserve"> adds the deal committee in week 1 · </w:t>
            </w:r>
            <w:r>
              <w:rPr>
                <w:rFonts w:ascii="Consolas" w:hAnsi="Consolas"/>
                <w:color w:val="9C274E"/>
                <w:sz w:val="18"/>
              </w:rPr>
              <w:t>P1-14</w:t>
            </w:r>
            <w:r>
              <w:rPr>
                <w:sz w:val="19"/>
              </w:rPr>
              <w:t xml:space="preserve"> v0 captures and rolls up evidence in week 2 · </w:t>
            </w:r>
            <w:r>
              <w:rPr>
                <w:rFonts w:ascii="Consolas" w:hAnsi="Consolas"/>
                <w:color w:val="9C274E"/>
                <w:sz w:val="18"/>
              </w:rPr>
              <w:t>P1-15</w:t>
            </w:r>
            <w:r>
              <w:rPr>
                <w:sz w:val="19"/>
              </w:rPr>
              <w:t xml:space="preserve"> v0 makes it walkable in week 3 (</w:t>
            </w:r>
            <w:hyperlink r:id="rId17">
              <w:r>
                <w:rPr>
                  <w:color w:val="2F5496"/>
                  <w:u w:val="single"/>
                </w:rPr>
                <w:t>7.3</w:t>
              </w:r>
            </w:hyperlink>
            <w:r>
              <w:rPr>
                <w:sz w:val="19"/>
              </w:rPr>
              <w:t>)</w:t>
            </w:r>
          </w:p>
        </w:tc>
      </w:tr>
      <w:tr>
        <w:tc>
          <w:tcPr>
            <w:tcW w:type="dxa" w:w="4873"/>
            <w:shd w:val="clear" w:color="auto" w:fill="F4F6F9"/>
          </w:tcPr>
          <w:p>
            <w:pPr>
              <w:spacing w:after="40" w:before="40"/>
              <w:jc w:val="left"/>
            </w:pPr>
            <w:r>
              <w:rPr>
                <w:b/>
                <w:sz w:val="19"/>
              </w:rPr>
              <w:t>The pitch</w:t>
            </w:r>
          </w:p>
        </w:tc>
        <w:tc>
          <w:tcPr>
            <w:tcW w:type="dxa" w:w="4873"/>
            <w:shd w:val="clear" w:color="auto" w:fill="F4F6F9"/>
          </w:tcPr>
          <w:p>
            <w:pPr>
              <w:spacing w:after="40" w:before="40"/>
              <w:jc w:val="left"/>
            </w:pPr>
            <w:r>
              <w:rPr>
                <w:sz w:val="19"/>
              </w:rPr>
              <w:t>Competitors sell pipeline intelligence — attributes of a record. We sell relationship intelligence — attributes of the people who decide</w:t>
            </w:r>
          </w:p>
        </w:tc>
      </w:tr>
    </w:tbl>
    <w:p>
      <w:pPr>
        <w:spacing w:after="80"/>
      </w:pPr>
    </w:p>
    <w:p>
      <w:pPr>
        <w:spacing w:before="160" w:after="200"/>
        <w:ind w:left="227" w:right="113"/>
        <w:pBdr>
          <w:left w:val="single" w:sz="24" w:space="8" w:color="2F5496"/>
        </w:pBdr>
        <w:shd w:val="clear" w:color="auto" w:fill="F7F9FC"/>
      </w:pPr>
      <w:r>
        <w:rPr>
          <w:b/>
          <w:color w:val="2B3340"/>
          <w:sz w:val="20"/>
        </w:rPr>
        <w:t>Positioning note.</w:t>
      </w:r>
      <w:r>
        <w:rPr>
          <w:color w:val="2B3340"/>
          <w:sz w:val="20"/>
        </w:rPr>
        <w:t xml:space="preserve"> This is the differentiator to lead with in deal conversations, but sequence it honestly. The schema lands in week 1, evidence capture in week 2, and traversal only in week 3 — so the demo exists at the </w:t>
      </w:r>
      <w:r>
        <w:rPr>
          <w:i/>
          <w:color w:val="2B3340"/>
          <w:sz w:val="20"/>
        </w:rPr>
        <w:t>end</w:t>
      </w:r>
      <w:r>
        <w:rPr>
          <w:color w:val="2B3340"/>
          <w:sz w:val="20"/>
        </w:rPr>
        <w:t xml:space="preserve"> of the sprint, not during it. Two things not to overclaim: do not sell it before </w:t>
      </w:r>
      <w:r>
        <w:rPr>
          <w:rFonts w:ascii="Consolas" w:hAnsi="Consolas"/>
          <w:color w:val="9C274E"/>
          <w:sz w:val="19"/>
        </w:rPr>
        <w:t>P1-15</w:t>
      </w:r>
      <w:r>
        <w:rPr>
          <w:color w:val="2B3340"/>
          <w:sz w:val="20"/>
        </w:rPr>
        <w:t xml:space="preserve"> ships, and do not describe the v0 rollup as a learned model. It is a threshold on repeated co-occurrence with a human confirm step — which is the more defensible claim anyway, because every edge traces back to the interactions that produced it.</w:t>
      </w:r>
    </w:p>
    <w:p>
      <w:pPr>
        <w:spacing w:before="80" w:after="200"/>
        <w:pBdr>
          <w:bottom w:val="single" w:sz="8" w:space="8" w:color="C9D1DC"/>
        </w:pBdr>
      </w:pPr>
      <w:r>
        <w:br w:type="page"/>
      </w:r>
    </w:p>
    <w:p>
      <w:pPr>
        <w:pStyle w:val="Heading2"/>
      </w:pPr>
      <w:r>
        <w:t>7. Three-week delivery plan</w:t>
      </w:r>
    </w:p>
    <w:p>
      <w:r>
        <w:t xml:space="preserve">Three weeks with two to three engineers is </w:t>
      </w:r>
      <w:r>
        <w:rPr>
          <w:b/>
        </w:rPr>
        <w:t>45 engineer-days at full strength</w:t>
      </w:r>
      <w:r>
        <w:t xml:space="preserve">, and the register above totals well over a year of work. Breadth is still achievable, but not by working faster — only by exploiting one property of this catalog: </w:t>
      </w:r>
      <w:r>
        <w:rPr>
          <w:b/>
        </w:rPr>
        <w:t>the most valuable P0 gaps are horizontal.</w:t>
      </w:r>
      <w:r>
        <w:t xml:space="preserve"> Aggregation, bulk writes, structured errors and progressive tool disclosure are each a single implementation at the shared CRUD and MCP layers, and each lands on all 51 entities and all 247 tools at once. Five gaps, five mechanisms, zero per-entity work.</w:t>
      </w:r>
    </w:p>
    <w:p>
      <w:r>
        <w:t>That is the whole reason a three-week window closes 13 of 30 gaps instead of three or four.</w:t>
      </w:r>
    </w:p>
    <w:p>
      <w:pPr>
        <w:pStyle w:val="Heading3"/>
      </w:pPr>
      <w:r>
        <w:t>7.1 Capacity and strategy</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c>
          <w:tcPr>
            <w:tcW w:type="dxa" w:w="4873"/>
          </w:tcPr>
          <w:p>
            <w:pPr>
              <w:spacing w:after="40" w:before="40"/>
              <w:jc w:val="left"/>
            </w:pPr>
            <w:r>
              <w:rPr>
                <w:b/>
                <w:sz w:val="19"/>
              </w:rPr>
              <w:t>Window</w:t>
            </w:r>
          </w:p>
        </w:tc>
        <w:tc>
          <w:tcPr>
            <w:tcW w:type="dxa" w:w="4873"/>
          </w:tcPr>
          <w:p>
            <w:pPr>
              <w:spacing w:after="40" w:before="40"/>
              <w:jc w:val="left"/>
            </w:pPr>
            <w:r>
              <w:rPr>
                <w:sz w:val="19"/>
              </w:rPr>
              <w:t>15 working days</w:t>
            </w:r>
          </w:p>
        </w:tc>
      </w:tr>
      <w:tr>
        <w:tc>
          <w:tcPr>
            <w:tcW w:type="dxa" w:w="4873"/>
            <w:shd w:val="clear" w:color="auto" w:fill="F4F6F9"/>
          </w:tcPr>
          <w:p>
            <w:pPr>
              <w:spacing w:after="40" w:before="40"/>
              <w:jc w:val="left"/>
            </w:pPr>
            <w:r>
              <w:rPr>
                <w:b/>
                <w:sz w:val="19"/>
              </w:rPr>
              <w:t>Team</w:t>
            </w:r>
          </w:p>
        </w:tc>
        <w:tc>
          <w:tcPr>
            <w:tcW w:type="dxa" w:w="4873"/>
            <w:shd w:val="clear" w:color="auto" w:fill="F4F6F9"/>
          </w:tcPr>
          <w:p>
            <w:pPr>
              <w:spacing w:after="40" w:before="40"/>
              <w:jc w:val="left"/>
            </w:pPr>
            <w:r>
              <w:rPr>
                <w:sz w:val="19"/>
              </w:rPr>
              <w:t xml:space="preserve">3 engineers, one per track (degrades to 2 — see </w:t>
            </w:r>
            <w:hyperlink r:id="rId18">
              <w:r>
                <w:rPr>
                  <w:color w:val="2F5496"/>
                  <w:u w:val="single"/>
                </w:rPr>
                <w:t>7.5</w:t>
              </w:r>
            </w:hyperlink>
            <w:r>
              <w:rPr>
                <w:sz w:val="19"/>
              </w:rPr>
              <w:t>)</w:t>
            </w:r>
          </w:p>
        </w:tc>
      </w:tr>
      <w:tr>
        <w:tc>
          <w:tcPr>
            <w:tcW w:type="dxa" w:w="4873"/>
          </w:tcPr>
          <w:p>
            <w:pPr>
              <w:spacing w:after="40" w:before="40"/>
              <w:jc w:val="left"/>
            </w:pPr>
            <w:r>
              <w:rPr>
                <w:b/>
                <w:sz w:val="19"/>
              </w:rPr>
              <w:t>Capacity</w:t>
            </w:r>
          </w:p>
        </w:tc>
        <w:tc>
          <w:tcPr>
            <w:tcW w:type="dxa" w:w="4873"/>
          </w:tcPr>
          <w:p>
            <w:pPr>
              <w:spacing w:after="40" w:before="40"/>
              <w:jc w:val="left"/>
            </w:pPr>
            <w:r>
              <w:rPr>
                <w:sz w:val="19"/>
              </w:rPr>
              <w:t>45 engineer-days</w:t>
            </w:r>
          </w:p>
        </w:tc>
      </w:tr>
      <w:tr>
        <w:tc>
          <w:tcPr>
            <w:tcW w:type="dxa" w:w="4873"/>
            <w:shd w:val="clear" w:color="auto" w:fill="F4F6F9"/>
          </w:tcPr>
          <w:p>
            <w:pPr>
              <w:spacing w:after="40" w:before="40"/>
              <w:jc w:val="left"/>
            </w:pPr>
            <w:r>
              <w:rPr>
                <w:b/>
                <w:sz w:val="19"/>
              </w:rPr>
              <w:t>Planned</w:t>
            </w:r>
          </w:p>
        </w:tc>
        <w:tc>
          <w:tcPr>
            <w:tcW w:type="dxa" w:w="4873"/>
            <w:shd w:val="clear" w:color="auto" w:fill="F4F6F9"/>
          </w:tcPr>
          <w:p>
            <w:pPr>
              <w:spacing w:after="40" w:before="40"/>
              <w:jc w:val="left"/>
            </w:pPr>
            <w:r>
              <w:rPr>
                <w:sz w:val="19"/>
              </w:rPr>
              <w:t>35 engineer-days across 13 gaps</w:t>
            </w:r>
          </w:p>
        </w:tc>
      </w:tr>
      <w:tr>
        <w:tc>
          <w:tcPr>
            <w:tcW w:type="dxa" w:w="4873"/>
          </w:tcPr>
          <w:p>
            <w:pPr>
              <w:spacing w:after="40" w:before="40"/>
              <w:jc w:val="left"/>
            </w:pPr>
            <w:r>
              <w:rPr>
                <w:b/>
                <w:sz w:val="19"/>
              </w:rPr>
              <w:t>Buffer</w:t>
            </w:r>
          </w:p>
        </w:tc>
        <w:tc>
          <w:tcPr>
            <w:tcW w:type="dxa" w:w="4873"/>
          </w:tcPr>
          <w:p>
            <w:pPr>
              <w:spacing w:after="40" w:before="40"/>
              <w:jc w:val="left"/>
            </w:pPr>
            <w:r>
              <w:rPr>
                <w:sz w:val="19"/>
              </w:rPr>
              <w:t>10 engineer-days, 22%, unevenly distributed on purpose</w:t>
            </w:r>
          </w:p>
        </w:tc>
      </w:tr>
    </w:tbl>
    <w:p>
      <w:pPr>
        <w:spacing w:after="80"/>
      </w:pPr>
    </w:p>
    <w:p>
      <w:r>
        <w:t xml:space="preserve">The buffer is </w:t>
      </w:r>
      <w:r>
        <w:rPr>
          <w:b/>
        </w:rPr>
        <w:t>loaded into week 3</w:t>
      </w:r>
      <w:r>
        <w:t>: weeks 1 and 2 run at 13 and 14 engineer-days, week 3 at 8. Traversal and tool discovery are the only week-3 builds, leaving the rest of that week for integration, seeding demo data and the review that three-week plans usually skip.</w:t>
      </w:r>
    </w:p>
    <w:p>
      <w:r>
        <w:t>Three rules keep the breadth honest rather than aspirational:</w:t>
      </w:r>
    </w:p>
    <w:p>
      <w:pPr>
        <w:pStyle w:val="ListNumber"/>
        <w:spacing w:after="60"/>
      </w:pPr>
      <w:r>
        <w:rPr>
          <w:b/>
        </w:rPr>
        <w:t>Build mechanisms, not features.</w:t>
      </w:r>
      <w:r>
        <w:t xml:space="preserve"> Anything that has to be written once per entity is out of scope by definition. Anything that can be written once at a shared layer is preferred even when its individual value is lower, because it multiplies across 51 entities.</w:t>
      </w:r>
    </w:p>
    <w:p>
      <w:pPr>
        <w:pStyle w:val="ListNumber"/>
        <w:spacing w:after="60"/>
      </w:pPr>
      <w:r>
        <w:rPr>
          <w:b/>
        </w:rPr>
        <w:t>Ship v0 scopes, and label them.</w:t>
      </w:r>
      <w:r>
        <w:t xml:space="preserve"> Five of the thirteen land as deliberate first cuts rather than the full surface the register describes. They are marked </w:t>
      </w:r>
      <w:r>
        <w:rPr>
          <w:b/>
        </w:rPr>
        <w:t>v0</w:t>
      </w:r>
      <w:r>
        <w:t xml:space="preserve"> in </w:t>
      </w:r>
      <w:hyperlink r:id="rId19">
        <w:r>
          <w:rPr>
            <w:color w:val="2F5496"/>
            <w:u w:val="single"/>
          </w:rPr>
          <w:t>section 4</w:t>
        </w:r>
      </w:hyperlink>
      <w:r>
        <w:t xml:space="preserve">, and what each one leaves behind is named in </w:t>
      </w:r>
      <w:hyperlink r:id="rId17">
        <w:r>
          <w:rPr>
            <w:color w:val="2F5496"/>
            <w:u w:val="single"/>
          </w:rPr>
          <w:t>7.3</w:t>
        </w:r>
      </w:hyperlink>
      <w:r>
        <w:t>. A v0 that is documented is a decision; a v0 that is not is a defect.</w:t>
      </w:r>
    </w:p>
    <w:p>
      <w:pPr>
        <w:pStyle w:val="ListNumber"/>
        <w:spacing w:after="60"/>
      </w:pPr>
      <w:r>
        <w:rPr>
          <w:b/>
        </w:rPr>
        <w:t>Touch nothing with an external dependency.</w:t>
      </w:r>
      <w:r>
        <w:t xml:space="preserve"> GST e-invoicing needs IRP certification, outbound email needs deliverability warm-up, OAuth needs a consent surface. None of those compress no matter how the sprint is staffed, so none of them are in it.</w:t>
      </w:r>
    </w:p>
    <w:p>
      <w:pPr>
        <w:pStyle w:val="Heading3"/>
      </w:pPr>
      <w:r>
        <w:t>7.2 Three tracks</w:t>
      </w:r>
    </w:p>
    <w:p>
      <w:r>
        <w:t>The tracks are deliberately independent — they share no migrations and no code paths — so a slip on one does not stall the others.</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2436"/>
        <w:gridCol w:w="2436"/>
        <w:gridCol w:w="2436"/>
        <w:gridCol w:w="2436"/>
      </w:tblGrid>
      <w:tr>
        <w:trPr>
          <w:tblHeader w:val="true"/>
        </w:trPr>
        <w:tc>
          <w:tcPr>
            <w:tcW w:type="dxa" w:w="2436"/>
            <w:shd w:val="clear" w:color="auto" w:fill="1F3864"/>
          </w:tcPr>
          <w:p>
            <w:pPr>
              <w:spacing w:after="40" w:before="40"/>
              <w:jc w:val="left"/>
            </w:pPr>
            <w:r>
              <w:rPr>
                <w:b/>
                <w:color w:val="FFFFFF"/>
                <w:sz w:val="19"/>
              </w:rPr>
              <w:t>Track</w:t>
            </w:r>
          </w:p>
        </w:tc>
        <w:tc>
          <w:tcPr>
            <w:tcW w:type="dxa" w:w="2436"/>
            <w:shd w:val="clear" w:color="auto" w:fill="1F3864"/>
          </w:tcPr>
          <w:p>
            <w:pPr>
              <w:spacing w:after="40" w:before="40"/>
              <w:jc w:val="left"/>
            </w:pPr>
            <w:r>
              <w:rPr>
                <w:b/>
                <w:color w:val="FFFFFF"/>
                <w:sz w:val="19"/>
              </w:rPr>
              <w:t>Theme</w:t>
            </w:r>
          </w:p>
        </w:tc>
        <w:tc>
          <w:tcPr>
            <w:tcW w:type="dxa" w:w="2436"/>
            <w:shd w:val="clear" w:color="auto" w:fill="1F3864"/>
          </w:tcPr>
          <w:p>
            <w:pPr>
              <w:spacing w:after="40" w:before="40"/>
              <w:jc w:val="left"/>
            </w:pPr>
            <w:r>
              <w:rPr>
                <w:b/>
                <w:color w:val="FFFFFF"/>
                <w:sz w:val="19"/>
              </w:rPr>
              <w:t>Gaps</w:t>
            </w:r>
          </w:p>
        </w:tc>
        <w:tc>
          <w:tcPr>
            <w:tcW w:type="dxa" w:w="2436"/>
            <w:shd w:val="clear" w:color="auto" w:fill="1F3864"/>
          </w:tcPr>
          <w:p>
            <w:pPr>
              <w:spacing w:after="40" w:before="40"/>
              <w:jc w:val="right"/>
            </w:pPr>
            <w:r>
              <w:rPr>
                <w:b/>
                <w:color w:val="FFFFFF"/>
                <w:sz w:val="19"/>
              </w:rPr>
              <w:t>Days</w:t>
            </w:r>
          </w:p>
        </w:tc>
      </w:tr>
      <w:tr>
        <w:tc>
          <w:tcPr>
            <w:tcW w:type="dxa" w:w="2436"/>
          </w:tcPr>
          <w:p>
            <w:pPr>
              <w:spacing w:after="40" w:before="40"/>
              <w:jc w:val="left"/>
            </w:pPr>
            <w:r>
              <w:rPr>
                <w:b/>
                <w:sz w:val="19"/>
              </w:rPr>
              <w:t>A</w:t>
            </w:r>
          </w:p>
        </w:tc>
        <w:tc>
          <w:tcPr>
            <w:tcW w:type="dxa" w:w="2436"/>
          </w:tcPr>
          <w:p>
            <w:pPr>
              <w:spacing w:after="40" w:before="40"/>
              <w:jc w:val="left"/>
            </w:pPr>
            <w:r>
              <w:rPr>
                <w:sz w:val="19"/>
              </w:rPr>
              <w:t>Query ergonomics — one mechanism, every entity</w:t>
            </w:r>
          </w:p>
        </w:tc>
        <w:tc>
          <w:tcPr>
            <w:tcW w:type="dxa" w:w="2436"/>
          </w:tcPr>
          <w:p>
            <w:pPr>
              <w:spacing w:after="40" w:before="40"/>
              <w:jc w:val="left"/>
            </w:pPr>
            <w:r>
              <w:rPr>
                <w:rFonts w:ascii="Consolas" w:hAnsi="Consolas"/>
                <w:color w:val="9C274E"/>
                <w:sz w:val="18"/>
              </w:rPr>
              <w:t>P0-4</w:t>
            </w:r>
            <w:r>
              <w:rPr>
                <w:sz w:val="19"/>
              </w:rPr>
              <w:t xml:space="preserve">, </w:t>
            </w:r>
            <w:r>
              <w:rPr>
                <w:rFonts w:ascii="Consolas" w:hAnsi="Consolas"/>
                <w:color w:val="9C274E"/>
                <w:sz w:val="18"/>
              </w:rPr>
              <w:t>P0-1</w:t>
            </w:r>
            <w:r>
              <w:rPr>
                <w:sz w:val="19"/>
              </w:rPr>
              <w:t xml:space="preserve">, </w:t>
            </w:r>
            <w:r>
              <w:rPr>
                <w:rFonts w:ascii="Consolas" w:hAnsi="Consolas"/>
                <w:color w:val="9C274E"/>
                <w:sz w:val="18"/>
              </w:rPr>
              <w:t>P0-5</w:t>
            </w:r>
            <w:r>
              <w:rPr>
                <w:sz w:val="19"/>
              </w:rPr>
              <w:t xml:space="preserve">, </w:t>
            </w:r>
            <w:r>
              <w:rPr>
                <w:rFonts w:ascii="Consolas" w:hAnsi="Consolas"/>
                <w:color w:val="9C274E"/>
                <w:sz w:val="18"/>
              </w:rPr>
              <w:t>P0-2</w:t>
            </w:r>
          </w:p>
        </w:tc>
        <w:tc>
          <w:tcPr>
            <w:tcW w:type="dxa" w:w="2436"/>
          </w:tcPr>
          <w:p>
            <w:pPr>
              <w:spacing w:after="40" w:before="40"/>
              <w:jc w:val="right"/>
            </w:pPr>
            <w:r>
              <w:rPr>
                <w:sz w:val="19"/>
              </w:rPr>
              <w:t>11</w:t>
            </w:r>
          </w:p>
        </w:tc>
      </w:tr>
      <w:tr>
        <w:tc>
          <w:tcPr>
            <w:tcW w:type="dxa" w:w="2436"/>
            <w:shd w:val="clear" w:color="auto" w:fill="F4F6F9"/>
          </w:tcPr>
          <w:p>
            <w:pPr>
              <w:spacing w:after="40" w:before="40"/>
              <w:jc w:val="left"/>
            </w:pPr>
            <w:r>
              <w:rPr>
                <w:b/>
                <w:sz w:val="19"/>
              </w:rPr>
              <w:t>B</w:t>
            </w:r>
          </w:p>
        </w:tc>
        <w:tc>
          <w:tcPr>
            <w:tcW w:type="dxa" w:w="2436"/>
            <w:shd w:val="clear" w:color="auto" w:fill="F4F6F9"/>
          </w:tcPr>
          <w:p>
            <w:pPr>
              <w:spacing w:after="40" w:before="40"/>
              <w:jc w:val="left"/>
            </w:pPr>
            <w:r>
              <w:rPr>
                <w:sz w:val="19"/>
              </w:rPr>
              <w:t>Relationship slice — the differentiator, end to end</w:t>
            </w:r>
          </w:p>
        </w:tc>
        <w:tc>
          <w:tcPr>
            <w:tcW w:type="dxa" w:w="2436"/>
            <w:shd w:val="clear" w:color="auto" w:fill="F4F6F9"/>
          </w:tcPr>
          <w:p>
            <w:pPr>
              <w:spacing w:after="40" w:before="40"/>
              <w:jc w:val="left"/>
            </w:pPr>
            <w:r>
              <w:rPr>
                <w:rFonts w:ascii="Consolas" w:hAnsi="Consolas"/>
                <w:color w:val="9C274E"/>
                <w:sz w:val="18"/>
              </w:rPr>
              <w:t>P0-8</w:t>
            </w:r>
            <w:r>
              <w:rPr>
                <w:sz w:val="19"/>
              </w:rPr>
              <w:t xml:space="preserve">, </w:t>
            </w:r>
            <w:r>
              <w:rPr>
                <w:rFonts w:ascii="Consolas" w:hAnsi="Consolas"/>
                <w:color w:val="9C274E"/>
                <w:sz w:val="18"/>
              </w:rPr>
              <w:t>P1-18</w:t>
            </w:r>
            <w:r>
              <w:rPr>
                <w:sz w:val="19"/>
              </w:rPr>
              <w:t xml:space="preserve">, </w:t>
            </w:r>
            <w:r>
              <w:rPr>
                <w:rFonts w:ascii="Consolas" w:hAnsi="Consolas"/>
                <w:color w:val="9C274E"/>
                <w:sz w:val="18"/>
              </w:rPr>
              <w:t>P1-14</w:t>
            </w:r>
            <w:r>
              <w:rPr>
                <w:sz w:val="19"/>
              </w:rPr>
              <w:t xml:space="preserve">, </w:t>
            </w:r>
            <w:r>
              <w:rPr>
                <w:rFonts w:ascii="Consolas" w:hAnsi="Consolas"/>
                <w:color w:val="9C274E"/>
                <w:sz w:val="18"/>
              </w:rPr>
              <w:t>P1-15</w:t>
            </w:r>
          </w:p>
        </w:tc>
        <w:tc>
          <w:tcPr>
            <w:tcW w:type="dxa" w:w="2436"/>
            <w:shd w:val="clear" w:color="auto" w:fill="F4F6F9"/>
          </w:tcPr>
          <w:p>
            <w:pPr>
              <w:spacing w:after="40" w:before="40"/>
              <w:jc w:val="right"/>
            </w:pPr>
            <w:r>
              <w:rPr>
                <w:sz w:val="19"/>
              </w:rPr>
              <w:t>12</w:t>
            </w:r>
          </w:p>
        </w:tc>
      </w:tr>
      <w:tr>
        <w:tc>
          <w:tcPr>
            <w:tcW w:type="dxa" w:w="2436"/>
          </w:tcPr>
          <w:p>
            <w:pPr>
              <w:spacing w:after="40" w:before="40"/>
              <w:jc w:val="left"/>
            </w:pPr>
            <w:r>
              <w:rPr>
                <w:b/>
                <w:sz w:val="19"/>
              </w:rPr>
              <w:t>C</w:t>
            </w:r>
          </w:p>
        </w:tc>
        <w:tc>
          <w:tcPr>
            <w:tcW w:type="dxa" w:w="2436"/>
          </w:tcPr>
          <w:p>
            <w:pPr>
              <w:spacing w:after="40" w:before="40"/>
              <w:jc w:val="left"/>
            </w:pPr>
            <w:r>
              <w:rPr>
                <w:sz w:val="19"/>
              </w:rPr>
              <w:t>Discovery and breadth sweep — cheap wins on existing data</w:t>
            </w:r>
          </w:p>
        </w:tc>
        <w:tc>
          <w:tcPr>
            <w:tcW w:type="dxa" w:w="2436"/>
          </w:tcPr>
          <w:p>
            <w:pPr>
              <w:spacing w:after="40" w:before="40"/>
              <w:jc w:val="left"/>
            </w:pPr>
            <w:r>
              <w:rPr>
                <w:rFonts w:ascii="Consolas" w:hAnsi="Consolas"/>
                <w:color w:val="9C274E"/>
                <w:sz w:val="18"/>
              </w:rPr>
              <w:t>P1-13</w:t>
            </w:r>
            <w:r>
              <w:rPr>
                <w:sz w:val="19"/>
              </w:rPr>
              <w:t xml:space="preserve">, </w:t>
            </w:r>
            <w:r>
              <w:rPr>
                <w:rFonts w:ascii="Consolas" w:hAnsi="Consolas"/>
                <w:color w:val="9C274E"/>
                <w:sz w:val="18"/>
              </w:rPr>
              <w:t>P2-4</w:t>
            </w:r>
            <w:r>
              <w:rPr>
                <w:sz w:val="19"/>
              </w:rPr>
              <w:t xml:space="preserve">, </w:t>
            </w:r>
            <w:r>
              <w:rPr>
                <w:rFonts w:ascii="Consolas" w:hAnsi="Consolas"/>
                <w:color w:val="9C274E"/>
                <w:sz w:val="18"/>
              </w:rPr>
              <w:t>P1-8</w:t>
            </w:r>
            <w:r>
              <w:rPr>
                <w:sz w:val="19"/>
              </w:rPr>
              <w:t xml:space="preserve">, </w:t>
            </w:r>
            <w:r>
              <w:rPr>
                <w:rFonts w:ascii="Consolas" w:hAnsi="Consolas"/>
                <w:color w:val="9C274E"/>
                <w:sz w:val="18"/>
              </w:rPr>
              <w:t>P1-17</w:t>
            </w:r>
            <w:r>
              <w:rPr>
                <w:sz w:val="19"/>
              </w:rPr>
              <w:t xml:space="preserve">, </w:t>
            </w:r>
            <w:r>
              <w:rPr>
                <w:rFonts w:ascii="Consolas" w:hAnsi="Consolas"/>
                <w:color w:val="9C274E"/>
                <w:sz w:val="18"/>
              </w:rPr>
              <w:t>P0-3</w:t>
            </w:r>
          </w:p>
        </w:tc>
        <w:tc>
          <w:tcPr>
            <w:tcW w:type="dxa" w:w="2436"/>
          </w:tcPr>
          <w:p>
            <w:pPr>
              <w:spacing w:after="40" w:before="40"/>
              <w:jc w:val="right"/>
            </w:pPr>
            <w:r>
              <w:rPr>
                <w:sz w:val="19"/>
              </w:rPr>
              <w:t>12</w:t>
            </w:r>
          </w:p>
        </w:tc>
      </w:tr>
      <w:tr>
        <w:tc>
          <w:tcPr>
            <w:tcW w:type="dxa" w:w="2436"/>
            <w:shd w:val="clear" w:color="auto" w:fill="F4F6F9"/>
          </w:tcPr>
          <w:p>
            <w:pPr>
              <w:spacing w:after="40" w:before="40"/>
              <w:jc w:val="left"/>
            </w:pPr>
          </w:p>
        </w:tc>
        <w:tc>
          <w:tcPr>
            <w:tcW w:type="dxa" w:w="2436"/>
            <w:shd w:val="clear" w:color="auto" w:fill="F4F6F9"/>
          </w:tcPr>
          <w:p>
            <w:pPr>
              <w:spacing w:after="40" w:before="40"/>
              <w:jc w:val="left"/>
            </w:pPr>
            <w:r>
              <w:rPr>
                <w:b/>
                <w:sz w:val="19"/>
              </w:rPr>
              <w:t>Total</w:t>
            </w:r>
          </w:p>
        </w:tc>
        <w:tc>
          <w:tcPr>
            <w:tcW w:type="dxa" w:w="2436"/>
            <w:shd w:val="clear" w:color="auto" w:fill="F4F6F9"/>
          </w:tcPr>
          <w:p>
            <w:pPr>
              <w:spacing w:after="40" w:before="40"/>
              <w:jc w:val="left"/>
            </w:pPr>
            <w:r>
              <w:rPr>
                <w:b/>
                <w:sz w:val="19"/>
              </w:rPr>
              <w:t>13 gaps</w:t>
            </w:r>
          </w:p>
        </w:tc>
        <w:tc>
          <w:tcPr>
            <w:tcW w:type="dxa" w:w="2436"/>
            <w:shd w:val="clear" w:color="auto" w:fill="F4F6F9"/>
          </w:tcPr>
          <w:p>
            <w:pPr>
              <w:spacing w:after="40" w:before="40"/>
              <w:jc w:val="right"/>
            </w:pPr>
            <w:r>
              <w:rPr>
                <w:b/>
                <w:sz w:val="19"/>
              </w:rPr>
              <w:t>35</w:t>
            </w:r>
          </w:p>
        </w:tc>
      </w:tr>
    </w:tbl>
    <w:p>
      <w:pPr>
        <w:spacing w:after="80"/>
      </w:pPr>
    </w:p>
    <w:p>
      <w:r>
        <w:t xml:space="preserve">Track B is sized to produce a </w:t>
      </w:r>
      <w:r>
        <w:rPr>
          <w:i/>
        </w:rPr>
        <w:t>working demo</w:t>
      </w:r>
      <w:r>
        <w:t xml:space="preserve"> of relationship intelligence, not a production graph. That is the right trade for three weeks: the claim in </w:t>
      </w:r>
      <w:hyperlink r:id="rId14">
        <w:r>
          <w:rPr>
            <w:color w:val="2F5496"/>
            <w:u w:val="single"/>
          </w:rPr>
          <w:t>6.2</w:t>
        </w:r>
      </w:hyperlink>
      <w:r>
        <w:t xml:space="preserve"> becomes demonstrable, and the schema it rests on is the part that is expensive to change later.</w:t>
      </w:r>
    </w:p>
    <w:p>
      <w:pPr>
        <w:pStyle w:val="Heading3"/>
      </w:pPr>
      <w:r>
        <w:t>7.3 Week by week</w:t>
      </w:r>
    </w:p>
    <w:p>
      <w:r>
        <w:t>Week 1 is schema and mechanism, week 2 is the work that depends on them, week 3 is traversal and integration. Day estimates are per item.</w:t>
      </w:r>
    </w:p>
    <w:p>
      <w:r>
        <w:rPr>
          <w:b/>
        </w:rPr>
        <w:t>Week 1 — 13 engineer-days.</w:t>
      </w:r>
      <w:r>
        <w:t xml:space="preserve"> Everything that other work depends on.</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rPr>
          <w:tblHeader w:val="true"/>
        </w:trPr>
        <w:tc>
          <w:tcPr>
            <w:tcW w:type="dxa" w:w="4873"/>
            <w:shd w:val="clear" w:color="auto" w:fill="1F3864"/>
          </w:tcPr>
          <w:p>
            <w:pPr>
              <w:spacing w:after="40" w:before="40"/>
              <w:jc w:val="left"/>
            </w:pPr>
            <w:r>
              <w:rPr>
                <w:b/>
                <w:color w:val="FFFFFF"/>
                <w:sz w:val="19"/>
              </w:rPr>
              <w:t>Track</w:t>
            </w:r>
          </w:p>
        </w:tc>
        <w:tc>
          <w:tcPr>
            <w:tcW w:type="dxa" w:w="4873"/>
            <w:shd w:val="clear" w:color="auto" w:fill="1F3864"/>
          </w:tcPr>
          <w:p>
            <w:pPr>
              <w:spacing w:after="40" w:before="40"/>
              <w:jc w:val="left"/>
            </w:pPr>
            <w:r>
              <w:rPr>
                <w:b/>
                <w:color w:val="FFFFFF"/>
                <w:sz w:val="19"/>
              </w:rPr>
              <w:t>Work</w:t>
            </w:r>
          </w:p>
        </w:tc>
      </w:tr>
      <w:tr>
        <w:tc>
          <w:tcPr>
            <w:tcW w:type="dxa" w:w="4873"/>
          </w:tcPr>
          <w:p>
            <w:pPr>
              <w:spacing w:after="40" w:before="40"/>
              <w:jc w:val="left"/>
            </w:pPr>
            <w:r>
              <w:rPr>
                <w:b/>
                <w:sz w:val="19"/>
              </w:rPr>
              <w:t>A</w:t>
            </w:r>
          </w:p>
        </w:tc>
        <w:tc>
          <w:tcPr>
            <w:tcW w:type="dxa" w:w="4873"/>
          </w:tcPr>
          <w:p>
            <w:pPr>
              <w:spacing w:after="40" w:before="40"/>
              <w:jc w:val="left"/>
            </w:pPr>
            <w:r>
              <w:rPr>
                <w:rFonts w:ascii="Consolas" w:hAnsi="Consolas"/>
                <w:color w:val="9C274E"/>
                <w:sz w:val="18"/>
              </w:rPr>
              <w:t>P0-4</w:t>
            </w:r>
            <w:r>
              <w:rPr>
                <w:sz w:val="19"/>
              </w:rPr>
              <w:t xml:space="preserve"> structured errors carrying </w:t>
            </w:r>
            <w:r>
              <w:rPr>
                <w:rFonts w:ascii="Consolas" w:hAnsi="Consolas"/>
                <w:color w:val="9C274E"/>
                <w:sz w:val="18"/>
              </w:rPr>
              <w:t>missing[]</w:t>
            </w:r>
            <w:r>
              <w:rPr>
                <w:sz w:val="19"/>
              </w:rPr>
              <w:t xml:space="preserve"> and a readable message, at the validation boundary so all 247 tools inherit it (1d) · </w:t>
            </w:r>
            <w:r>
              <w:rPr>
                <w:rFonts w:ascii="Consolas" w:hAnsi="Consolas"/>
                <w:color w:val="9C274E"/>
                <w:sz w:val="18"/>
              </w:rPr>
              <w:t>P0-1</w:t>
            </w:r>
            <w:r>
              <w:rPr>
                <w:sz w:val="19"/>
              </w:rPr>
              <w:t xml:space="preserve"> generic </w:t>
            </w:r>
            <w:r>
              <w:rPr>
                <w:rFonts w:ascii="Consolas" w:hAnsi="Consolas"/>
                <w:color w:val="9C274E"/>
                <w:sz w:val="18"/>
              </w:rPr>
              <w:t>{Entity}.aggregate</w:t>
            </w:r>
            <w:r>
              <w:rPr>
                <w:sz w:val="19"/>
              </w:rPr>
              <w:t xml:space="preserve"> with </w:t>
            </w:r>
            <w:r>
              <w:rPr>
                <w:rFonts w:ascii="Consolas" w:hAnsi="Consolas"/>
                <w:color w:val="9C274E"/>
                <w:sz w:val="18"/>
              </w:rPr>
              <w:t>group_by</w:t>
            </w:r>
            <w:r>
              <w:rPr>
                <w:sz w:val="19"/>
              </w:rPr>
              <w:t xml:space="preserve"> and count, sum, avg, min, max (3d)</w:t>
            </w:r>
          </w:p>
        </w:tc>
      </w:tr>
      <w:tr>
        <w:tc>
          <w:tcPr>
            <w:tcW w:type="dxa" w:w="4873"/>
            <w:shd w:val="clear" w:color="auto" w:fill="F4F6F9"/>
          </w:tcPr>
          <w:p>
            <w:pPr>
              <w:spacing w:after="40" w:before="40"/>
              <w:jc w:val="left"/>
            </w:pPr>
            <w:r>
              <w:rPr>
                <w:b/>
                <w:sz w:val="19"/>
              </w:rPr>
              <w:t>B</w:t>
            </w:r>
          </w:p>
        </w:tc>
        <w:tc>
          <w:tcPr>
            <w:tcW w:type="dxa" w:w="4873"/>
            <w:shd w:val="clear" w:color="auto" w:fill="F4F6F9"/>
          </w:tcPr>
          <w:p>
            <w:pPr>
              <w:spacing w:after="40" w:before="40"/>
              <w:jc w:val="left"/>
            </w:pPr>
            <w:r>
              <w:rPr>
                <w:rFonts w:ascii="Consolas" w:hAnsi="Consolas"/>
                <w:color w:val="9C274E"/>
                <w:sz w:val="18"/>
              </w:rPr>
              <w:t>P0-8</w:t>
            </w:r>
            <w:r>
              <w:rPr>
                <w:sz w:val="19"/>
              </w:rPr>
              <w:t xml:space="preserve"> the </w:t>
            </w:r>
            <w:r>
              <w:rPr>
                <w:rFonts w:ascii="Consolas" w:hAnsi="Consolas"/>
                <w:color w:val="9C274E"/>
                <w:sz w:val="18"/>
              </w:rPr>
              <w:t>ActivityParticipant</w:t>
            </w:r>
            <w:r>
              <w:rPr>
                <w:sz w:val="19"/>
              </w:rPr>
              <w:t xml:space="preserve"> join table, migration and write path (3d) · </w:t>
            </w:r>
            <w:r>
              <w:rPr>
                <w:rFonts w:ascii="Consolas" w:hAnsi="Consolas"/>
                <w:color w:val="9C274E"/>
                <w:sz w:val="18"/>
              </w:rPr>
              <w:t>P1-18</w:t>
            </w:r>
            <w:r>
              <w:rPr>
                <w:sz w:val="19"/>
              </w:rPr>
              <w:t xml:space="preserve"> </w:t>
            </w:r>
            <w:r>
              <w:rPr>
                <w:rFonts w:ascii="Consolas" w:hAnsi="Consolas"/>
                <w:color w:val="9C274E"/>
                <w:sz w:val="18"/>
              </w:rPr>
              <w:t>DealContact</w:t>
            </w:r>
            <w:r>
              <w:rPr>
                <w:sz w:val="19"/>
              </w:rPr>
              <w:t xml:space="preserve"> with roles and influence, plus </w:t>
            </w:r>
            <w:r>
              <w:rPr>
                <w:rFonts w:ascii="Consolas" w:hAnsi="Consolas"/>
                <w:color w:val="9C274E"/>
                <w:sz w:val="18"/>
              </w:rPr>
              <w:t>referred_by_party_id</w:t>
            </w:r>
            <w:r>
              <w:rPr>
                <w:sz w:val="19"/>
              </w:rPr>
              <w:t xml:space="preserve"> on </w:t>
            </w:r>
            <w:r>
              <w:rPr>
                <w:rFonts w:ascii="Consolas" w:hAnsi="Consolas"/>
                <w:color w:val="9C274E"/>
                <w:sz w:val="18"/>
              </w:rPr>
              <w:t>Deal</w:t>
            </w:r>
            <w:r>
              <w:rPr>
                <w:sz w:val="19"/>
              </w:rPr>
              <w:t xml:space="preserve"> (2d)</w:t>
            </w:r>
          </w:p>
        </w:tc>
      </w:tr>
      <w:tr>
        <w:tc>
          <w:tcPr>
            <w:tcW w:type="dxa" w:w="4873"/>
          </w:tcPr>
          <w:p>
            <w:pPr>
              <w:spacing w:after="40" w:before="40"/>
              <w:jc w:val="left"/>
            </w:pPr>
            <w:r>
              <w:rPr>
                <w:b/>
                <w:sz w:val="19"/>
              </w:rPr>
              <w:t>C</w:t>
            </w:r>
          </w:p>
        </w:tc>
        <w:tc>
          <w:tcPr>
            <w:tcW w:type="dxa" w:w="4873"/>
          </w:tcPr>
          <w:p>
            <w:pPr>
              <w:spacing w:after="40" w:before="40"/>
              <w:jc w:val="left"/>
            </w:pPr>
            <w:r>
              <w:rPr>
                <w:rFonts w:ascii="Consolas" w:hAnsi="Consolas"/>
                <w:color w:val="9C274E"/>
                <w:sz w:val="18"/>
              </w:rPr>
              <w:t>P1-13</w:t>
            </w:r>
            <w:r>
              <w:rPr>
                <w:sz w:val="19"/>
              </w:rPr>
              <w:t xml:space="preserve"> v0 </w:t>
            </w:r>
            <w:r>
              <w:rPr>
                <w:rFonts w:ascii="Consolas" w:hAnsi="Consolas"/>
                <w:color w:val="9C274E"/>
                <w:sz w:val="18"/>
              </w:rPr>
              <w:t>Party.find_duplicates</w:t>
            </w:r>
            <w:r>
              <w:rPr>
                <w:sz w:val="19"/>
              </w:rPr>
              <w:t xml:space="preserve"> and </w:t>
            </w:r>
            <w:r>
              <w:rPr>
                <w:rFonts w:ascii="Consolas" w:hAnsi="Consolas"/>
                <w:color w:val="9C274E"/>
                <w:sz w:val="18"/>
              </w:rPr>
              <w:t>Party.merge</w:t>
            </w:r>
            <w:r>
              <w:rPr>
                <w:sz w:val="19"/>
              </w:rPr>
              <w:t xml:space="preserve"> on deterministic email, phone and normalised-name matching (3d) · </w:t>
            </w:r>
            <w:r>
              <w:rPr>
                <w:rFonts w:ascii="Consolas" w:hAnsi="Consolas"/>
                <w:color w:val="9C274E"/>
                <w:sz w:val="18"/>
              </w:rPr>
              <w:t>P2-4</w:t>
            </w:r>
            <w:r>
              <w:rPr>
                <w:sz w:val="19"/>
              </w:rPr>
              <w:t xml:space="preserve"> </w:t>
            </w:r>
            <w:r>
              <w:rPr>
                <w:rFonts w:ascii="Consolas" w:hAnsi="Consolas"/>
                <w:color w:val="9C274E"/>
                <w:sz w:val="18"/>
              </w:rPr>
              <w:t>Cost.timeseries</w:t>
            </w:r>
            <w:r>
              <w:rPr>
                <w:sz w:val="19"/>
              </w:rPr>
              <w:t xml:space="preserve"> from nightly persona snapshots (1d)</w:t>
            </w:r>
          </w:p>
        </w:tc>
      </w:tr>
    </w:tbl>
    <w:p>
      <w:pPr>
        <w:spacing w:after="80"/>
      </w:pPr>
    </w:p>
    <w:p>
      <w:r>
        <w:rPr>
          <w:b/>
        </w:rPr>
        <w:t>Week 2 — 14 engineer-days.</w:t>
      </w:r>
      <w:r>
        <w:t xml:space="preserve"> The heaviest week; the relationship pipeline is the critical path.</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rPr>
          <w:tblHeader w:val="true"/>
        </w:trPr>
        <w:tc>
          <w:tcPr>
            <w:tcW w:type="dxa" w:w="4873"/>
            <w:shd w:val="clear" w:color="auto" w:fill="1F3864"/>
          </w:tcPr>
          <w:p>
            <w:pPr>
              <w:spacing w:after="40" w:before="40"/>
              <w:jc w:val="left"/>
            </w:pPr>
            <w:r>
              <w:rPr>
                <w:b/>
                <w:color w:val="FFFFFF"/>
                <w:sz w:val="19"/>
              </w:rPr>
              <w:t>Track</w:t>
            </w:r>
          </w:p>
        </w:tc>
        <w:tc>
          <w:tcPr>
            <w:tcW w:type="dxa" w:w="4873"/>
            <w:shd w:val="clear" w:color="auto" w:fill="1F3864"/>
          </w:tcPr>
          <w:p>
            <w:pPr>
              <w:spacing w:after="40" w:before="40"/>
              <w:jc w:val="left"/>
            </w:pPr>
            <w:r>
              <w:rPr>
                <w:b/>
                <w:color w:val="FFFFFF"/>
                <w:sz w:val="19"/>
              </w:rPr>
              <w:t>Work</w:t>
            </w:r>
          </w:p>
        </w:tc>
      </w:tr>
      <w:tr>
        <w:tc>
          <w:tcPr>
            <w:tcW w:type="dxa" w:w="4873"/>
          </w:tcPr>
          <w:p>
            <w:pPr>
              <w:spacing w:after="40" w:before="40"/>
              <w:jc w:val="left"/>
            </w:pPr>
            <w:r>
              <w:rPr>
                <w:b/>
                <w:sz w:val="19"/>
              </w:rPr>
              <w:t>A</w:t>
            </w:r>
          </w:p>
        </w:tc>
        <w:tc>
          <w:tcPr>
            <w:tcW w:type="dxa" w:w="4873"/>
          </w:tcPr>
          <w:p>
            <w:pPr>
              <w:spacing w:after="40" w:before="40"/>
              <w:jc w:val="left"/>
            </w:pPr>
            <w:r>
              <w:rPr>
                <w:rFonts w:ascii="Consolas" w:hAnsi="Consolas"/>
                <w:color w:val="9C274E"/>
                <w:sz w:val="18"/>
              </w:rPr>
              <w:t>P0-5</w:t>
            </w:r>
            <w:r>
              <w:rPr>
                <w:sz w:val="19"/>
              </w:rPr>
              <w:t xml:space="preserve"> </w:t>
            </w:r>
            <w:r>
              <w:rPr>
                <w:rFonts w:ascii="Consolas" w:hAnsi="Consolas"/>
                <w:color w:val="9C274E"/>
                <w:sz w:val="18"/>
              </w:rPr>
              <w:t>bulk_create</w:t>
            </w:r>
            <w:r>
              <w:rPr>
                <w:sz w:val="19"/>
              </w:rPr>
              <w:t xml:space="preserve"> and </w:t>
            </w:r>
            <w:r>
              <w:rPr>
                <w:rFonts w:ascii="Consolas" w:hAnsi="Consolas"/>
                <w:color w:val="9C274E"/>
                <w:sz w:val="18"/>
              </w:rPr>
              <w:t>bulk_update</w:t>
            </w:r>
            <w:r>
              <w:rPr>
                <w:sz w:val="19"/>
              </w:rPr>
              <w:t xml:space="preserve"> with a batch envelope and partial-failure reporting (2d) · </w:t>
            </w:r>
            <w:r>
              <w:rPr>
                <w:rFonts w:ascii="Consolas" w:hAnsi="Consolas"/>
                <w:color w:val="9C274E"/>
                <w:sz w:val="18"/>
              </w:rPr>
              <w:t>P0-2</w:t>
            </w:r>
            <w:r>
              <w:rPr>
                <w:sz w:val="19"/>
              </w:rPr>
              <w:t xml:space="preserve"> </w:t>
            </w:r>
            <w:r>
              <w:rPr>
                <w:rFonts w:ascii="Consolas" w:hAnsi="Consolas"/>
                <w:color w:val="9C274E"/>
                <w:sz w:val="18"/>
              </w:rPr>
              <w:t>search.global</w:t>
            </w:r>
            <w:r>
              <w:rPr>
                <w:sz w:val="19"/>
              </w:rPr>
              <w:t xml:space="preserve"> spanning Lead, Deal, Party, Note and Activity (3d)</w:t>
            </w:r>
          </w:p>
        </w:tc>
      </w:tr>
      <w:tr>
        <w:tc>
          <w:tcPr>
            <w:tcW w:type="dxa" w:w="4873"/>
            <w:shd w:val="clear" w:color="auto" w:fill="F4F6F9"/>
          </w:tcPr>
          <w:p>
            <w:pPr>
              <w:spacing w:after="40" w:before="40"/>
              <w:jc w:val="left"/>
            </w:pPr>
            <w:r>
              <w:rPr>
                <w:b/>
                <w:sz w:val="19"/>
              </w:rPr>
              <w:t>B</w:t>
            </w:r>
          </w:p>
        </w:tc>
        <w:tc>
          <w:tcPr>
            <w:tcW w:type="dxa" w:w="4873"/>
            <w:shd w:val="clear" w:color="auto" w:fill="F4F6F9"/>
          </w:tcPr>
          <w:p>
            <w:pPr>
              <w:spacing w:after="40" w:before="40"/>
              <w:jc w:val="left"/>
            </w:pPr>
            <w:r>
              <w:rPr>
                <w:rFonts w:ascii="Consolas" w:hAnsi="Consolas"/>
                <w:color w:val="9C274E"/>
                <w:sz w:val="18"/>
              </w:rPr>
              <w:t>P1-14</w:t>
            </w:r>
            <w:r>
              <w:rPr>
                <w:sz w:val="19"/>
              </w:rPr>
              <w:t xml:space="preserve"> v0 </w:t>
            </w:r>
            <w:r>
              <w:rPr>
                <w:rFonts w:ascii="Consolas" w:hAnsi="Consolas"/>
                <w:color w:val="9C274E"/>
                <w:sz w:val="18"/>
              </w:rPr>
              <w:t>PartyMention</w:t>
            </w:r>
            <w:r>
              <w:rPr>
                <w:sz w:val="19"/>
              </w:rPr>
              <w:t xml:space="preserve"> evidence capture on every note, message and activity write, plus a nightly rollup proposing edges once co-occurrence crosses a threshold (4d)</w:t>
            </w:r>
          </w:p>
        </w:tc>
      </w:tr>
      <w:tr>
        <w:tc>
          <w:tcPr>
            <w:tcW w:type="dxa" w:w="4873"/>
          </w:tcPr>
          <w:p>
            <w:pPr>
              <w:spacing w:after="40" w:before="40"/>
              <w:jc w:val="left"/>
            </w:pPr>
            <w:r>
              <w:rPr>
                <w:b/>
                <w:sz w:val="19"/>
              </w:rPr>
              <w:t>C</w:t>
            </w:r>
          </w:p>
        </w:tc>
        <w:tc>
          <w:tcPr>
            <w:tcW w:type="dxa" w:w="4873"/>
          </w:tcPr>
          <w:p>
            <w:pPr>
              <w:spacing w:after="40" w:before="40"/>
              <w:jc w:val="left"/>
            </w:pPr>
            <w:r>
              <w:rPr>
                <w:rFonts w:ascii="Consolas" w:hAnsi="Consolas"/>
                <w:color w:val="9C274E"/>
                <w:sz w:val="18"/>
              </w:rPr>
              <w:t>P1-8</w:t>
            </w:r>
            <w:r>
              <w:rPr>
                <w:sz w:val="19"/>
              </w:rPr>
              <w:t xml:space="preserve"> v0 </w:t>
            </w:r>
            <w:r>
              <w:rPr>
                <w:rFonts w:ascii="Consolas" w:hAnsi="Consolas"/>
                <w:color w:val="9C274E"/>
                <w:sz w:val="18"/>
              </w:rPr>
              <w:t>AgentMemory.search</w:t>
            </w:r>
            <w:r>
              <w:rPr>
                <w:sz w:val="19"/>
              </w:rPr>
              <w:t xml:space="preserve"> as cosine top-k over embedded memory rows (3d) · </w:t>
            </w:r>
            <w:r>
              <w:rPr>
                <w:rFonts w:ascii="Consolas" w:hAnsi="Consolas"/>
                <w:color w:val="9C274E"/>
                <w:sz w:val="18"/>
              </w:rPr>
              <w:t>P1-17</w:t>
            </w:r>
            <w:r>
              <w:rPr>
                <w:sz w:val="19"/>
              </w:rPr>
              <w:t xml:space="preserve"> v0 outbound </w:t>
            </w:r>
            <w:r>
              <w:rPr>
                <w:rFonts w:ascii="Consolas" w:hAnsi="Consolas"/>
                <w:color w:val="9C274E"/>
                <w:sz w:val="18"/>
              </w:rPr>
              <w:t>Webhook.subscribe</w:t>
            </w:r>
            <w:r>
              <w:rPr>
                <w:sz w:val="19"/>
              </w:rPr>
              <w:t xml:space="preserve"> on entity change, with retry (2d)</w:t>
            </w:r>
          </w:p>
        </w:tc>
      </w:tr>
    </w:tbl>
    <w:p>
      <w:pPr>
        <w:spacing w:after="80"/>
      </w:pPr>
    </w:p>
    <w:p>
      <w:r>
        <w:rPr>
          <w:b/>
        </w:rPr>
        <w:t>Week 3 — 8 engineer-days.</w:t>
      </w:r>
      <w:r>
        <w:t xml:space="preserve"> Deliberately light. This is where the demo gets built and the sprint absorbs its slippage.</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4873"/>
        <w:gridCol w:w="4873"/>
      </w:tblGrid>
      <w:tr>
        <w:trPr>
          <w:tblHeader w:val="true"/>
        </w:trPr>
        <w:tc>
          <w:tcPr>
            <w:tcW w:type="dxa" w:w="4873"/>
            <w:shd w:val="clear" w:color="auto" w:fill="1F3864"/>
          </w:tcPr>
          <w:p>
            <w:pPr>
              <w:spacing w:after="40" w:before="40"/>
              <w:jc w:val="left"/>
            </w:pPr>
            <w:r>
              <w:rPr>
                <w:b/>
                <w:color w:val="FFFFFF"/>
                <w:sz w:val="19"/>
              </w:rPr>
              <w:t>Track</w:t>
            </w:r>
          </w:p>
        </w:tc>
        <w:tc>
          <w:tcPr>
            <w:tcW w:type="dxa" w:w="4873"/>
            <w:shd w:val="clear" w:color="auto" w:fill="1F3864"/>
          </w:tcPr>
          <w:p>
            <w:pPr>
              <w:spacing w:after="40" w:before="40"/>
              <w:jc w:val="left"/>
            </w:pPr>
            <w:r>
              <w:rPr>
                <w:b/>
                <w:color w:val="FFFFFF"/>
                <w:sz w:val="19"/>
              </w:rPr>
              <w:t>Work</w:t>
            </w:r>
          </w:p>
        </w:tc>
      </w:tr>
      <w:tr>
        <w:tc>
          <w:tcPr>
            <w:tcW w:type="dxa" w:w="4873"/>
          </w:tcPr>
          <w:p>
            <w:pPr>
              <w:spacing w:after="40" w:before="40"/>
              <w:jc w:val="left"/>
            </w:pPr>
            <w:r>
              <w:rPr>
                <w:b/>
                <w:sz w:val="19"/>
              </w:rPr>
              <w:t>A</w:t>
            </w:r>
          </w:p>
        </w:tc>
        <w:tc>
          <w:tcPr>
            <w:tcW w:type="dxa" w:w="4873"/>
          </w:tcPr>
          <w:p>
            <w:pPr>
              <w:spacing w:after="40" w:before="40"/>
              <w:jc w:val="left"/>
            </w:pPr>
            <w:r>
              <w:rPr>
                <w:sz w:val="19"/>
              </w:rPr>
              <w:t>Load-test the generic aggregate path against the largest entities, document the new surfaces (2d)</w:t>
            </w:r>
          </w:p>
        </w:tc>
      </w:tr>
      <w:tr>
        <w:tc>
          <w:tcPr>
            <w:tcW w:type="dxa" w:w="4873"/>
            <w:shd w:val="clear" w:color="auto" w:fill="F4F6F9"/>
          </w:tcPr>
          <w:p>
            <w:pPr>
              <w:spacing w:after="40" w:before="40"/>
              <w:jc w:val="left"/>
            </w:pPr>
            <w:r>
              <w:rPr>
                <w:b/>
                <w:sz w:val="19"/>
              </w:rPr>
              <w:t>B</w:t>
            </w:r>
          </w:p>
        </w:tc>
        <w:tc>
          <w:tcPr>
            <w:tcW w:type="dxa" w:w="4873"/>
            <w:shd w:val="clear" w:color="auto" w:fill="F4F6F9"/>
          </w:tcPr>
          <w:p>
            <w:pPr>
              <w:spacing w:after="40" w:before="40"/>
              <w:jc w:val="left"/>
            </w:pPr>
            <w:r>
              <w:rPr>
                <w:rFonts w:ascii="Consolas" w:hAnsi="Consolas"/>
                <w:color w:val="9C274E"/>
                <w:sz w:val="18"/>
              </w:rPr>
              <w:t>P1-15</w:t>
            </w:r>
            <w:r>
              <w:rPr>
                <w:sz w:val="19"/>
              </w:rPr>
              <w:t xml:space="preserve"> v0 </w:t>
            </w:r>
            <w:r>
              <w:rPr>
                <w:rFonts w:ascii="Consolas" w:hAnsi="Consolas"/>
                <w:color w:val="9C274E"/>
                <w:sz w:val="18"/>
              </w:rPr>
              <w:t>Relationship.neighbors</w:t>
            </w:r>
            <w:r>
              <w:rPr>
                <w:sz w:val="19"/>
              </w:rPr>
              <w:t xml:space="preserve"> and </w:t>
            </w:r>
            <w:r>
              <w:rPr>
                <w:rFonts w:ascii="Consolas" w:hAnsi="Consolas"/>
                <w:color w:val="9C274E"/>
                <w:sz w:val="18"/>
              </w:rPr>
              <w:t>Relationship.path</w:t>
            </w:r>
            <w:r>
              <w:rPr>
                <w:sz w:val="19"/>
              </w:rPr>
              <w:t xml:space="preserve"> by recursive CTE, with proposed edges routed to the existing </w:t>
            </w:r>
            <w:r>
              <w:rPr>
                <w:rFonts w:ascii="Consolas" w:hAnsi="Consolas"/>
                <w:color w:val="9C274E"/>
                <w:sz w:val="18"/>
              </w:rPr>
              <w:t>AgentEscalation</w:t>
            </w:r>
            <w:r>
              <w:rPr>
                <w:sz w:val="19"/>
              </w:rPr>
              <w:t xml:space="preserve"> queue for human confirmation (3d)</w:t>
            </w:r>
          </w:p>
        </w:tc>
      </w:tr>
      <w:tr>
        <w:tc>
          <w:tcPr>
            <w:tcW w:type="dxa" w:w="4873"/>
          </w:tcPr>
          <w:p>
            <w:pPr>
              <w:spacing w:after="40" w:before="40"/>
              <w:jc w:val="left"/>
            </w:pPr>
            <w:r>
              <w:rPr>
                <w:b/>
                <w:sz w:val="19"/>
              </w:rPr>
              <w:t>C</w:t>
            </w:r>
          </w:p>
        </w:tc>
        <w:tc>
          <w:tcPr>
            <w:tcW w:type="dxa" w:w="4873"/>
          </w:tcPr>
          <w:p>
            <w:pPr>
              <w:spacing w:after="40" w:before="40"/>
              <w:jc w:val="left"/>
            </w:pPr>
            <w:r>
              <w:rPr>
                <w:rFonts w:ascii="Consolas" w:hAnsi="Consolas"/>
                <w:color w:val="9C274E"/>
                <w:sz w:val="18"/>
              </w:rPr>
              <w:t>P0-3</w:t>
            </w:r>
            <w:r>
              <w:rPr>
                <w:sz w:val="19"/>
              </w:rPr>
              <w:t xml:space="preserve"> </w:t>
            </w:r>
            <w:r>
              <w:rPr>
                <w:rFonts w:ascii="Consolas" w:hAnsi="Consolas"/>
                <w:color w:val="9C274E"/>
                <w:sz w:val="18"/>
              </w:rPr>
              <w:t>tools/catalog</w:t>
            </w:r>
            <w:r>
              <w:rPr>
                <w:sz w:val="19"/>
              </w:rPr>
              <w:t xml:space="preserve">, </w:t>
            </w:r>
            <w:r>
              <w:rPr>
                <w:rFonts w:ascii="Consolas" w:hAnsi="Consolas"/>
                <w:color w:val="9C274E"/>
                <w:sz w:val="18"/>
              </w:rPr>
              <w:t>tools/describe</w:t>
            </w:r>
            <w:r>
              <w:rPr>
                <w:sz w:val="19"/>
              </w:rPr>
              <w:t xml:space="preserve"> and </w:t>
            </w:r>
            <w:r>
              <w:rPr>
                <w:rFonts w:ascii="Consolas" w:hAnsi="Consolas"/>
                <w:color w:val="9C274E"/>
                <w:sz w:val="18"/>
              </w:rPr>
              <w:t>search_tools</w:t>
            </w:r>
            <w:r>
              <w:rPr>
                <w:sz w:val="19"/>
              </w:rPr>
              <w:t xml:space="preserve"> per SEP-2636 (3d)</w:t>
            </w:r>
          </w:p>
        </w:tc>
      </w:tr>
    </w:tbl>
    <w:p>
      <w:pPr>
        <w:spacing w:after="80"/>
      </w:pPr>
    </w:p>
    <w:p>
      <w:pPr>
        <w:pStyle w:val="Heading4"/>
      </w:pPr>
      <w:r>
        <w:t>What each v0 leaves behind</w:t>
      </w:r>
    </w:p>
    <w:p>
      <w:r>
        <w:t>Naming this explicitly is the difference between a scoping decision and a hidden defect.</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3249"/>
        <w:gridCol w:w="3249"/>
        <w:gridCol w:w="3249"/>
      </w:tblGrid>
      <w:tr>
        <w:trPr>
          <w:tblHeader w:val="true"/>
        </w:trPr>
        <w:tc>
          <w:tcPr>
            <w:tcW w:type="dxa" w:w="3249"/>
            <w:shd w:val="clear" w:color="auto" w:fill="1F3864"/>
          </w:tcPr>
          <w:p>
            <w:pPr>
              <w:spacing w:after="40" w:before="40"/>
              <w:jc w:val="left"/>
            </w:pPr>
            <w:r>
              <w:rPr>
                <w:b/>
                <w:color w:val="FFFFFF"/>
                <w:sz w:val="19"/>
              </w:rPr>
              <w:t>Gap</w:t>
            </w:r>
          </w:p>
        </w:tc>
        <w:tc>
          <w:tcPr>
            <w:tcW w:type="dxa" w:w="3249"/>
            <w:shd w:val="clear" w:color="auto" w:fill="1F3864"/>
          </w:tcPr>
          <w:p>
            <w:pPr>
              <w:spacing w:after="40" w:before="40"/>
              <w:jc w:val="left"/>
            </w:pPr>
            <w:r>
              <w:rPr>
                <w:b/>
                <w:color w:val="FFFFFF"/>
                <w:sz w:val="19"/>
              </w:rPr>
              <w:t>Ships in the sprint</w:t>
            </w:r>
          </w:p>
        </w:tc>
        <w:tc>
          <w:tcPr>
            <w:tcW w:type="dxa" w:w="3249"/>
            <w:shd w:val="clear" w:color="auto" w:fill="1F3864"/>
          </w:tcPr>
          <w:p>
            <w:pPr>
              <w:spacing w:after="40" w:before="40"/>
              <w:jc w:val="left"/>
            </w:pPr>
            <w:r>
              <w:rPr>
                <w:b/>
                <w:color w:val="FFFFFF"/>
                <w:sz w:val="19"/>
              </w:rPr>
              <w:t>Left for later</w:t>
            </w:r>
          </w:p>
        </w:tc>
      </w:tr>
      <w:tr>
        <w:tc>
          <w:tcPr>
            <w:tcW w:type="dxa" w:w="3249"/>
          </w:tcPr>
          <w:p>
            <w:pPr>
              <w:spacing w:after="40" w:before="40"/>
              <w:jc w:val="left"/>
            </w:pPr>
            <w:r>
              <w:rPr>
                <w:rFonts w:ascii="Consolas" w:hAnsi="Consolas"/>
                <w:color w:val="9C274E"/>
                <w:sz w:val="18"/>
              </w:rPr>
              <w:t>P1-13</w:t>
            </w:r>
          </w:p>
        </w:tc>
        <w:tc>
          <w:tcPr>
            <w:tcW w:type="dxa" w:w="3249"/>
          </w:tcPr>
          <w:p>
            <w:pPr>
              <w:spacing w:after="40" w:before="40"/>
              <w:jc w:val="left"/>
            </w:pPr>
            <w:r>
              <w:rPr>
                <w:sz w:val="19"/>
              </w:rPr>
              <w:t>Deterministic duplicate detection and merge, with the merge itself written to the job ledger</w:t>
            </w:r>
          </w:p>
        </w:tc>
        <w:tc>
          <w:tcPr>
            <w:tcW w:type="dxa" w:w="3249"/>
          </w:tcPr>
          <w:p>
            <w:pPr>
              <w:spacing w:after="40" w:before="40"/>
              <w:jc w:val="left"/>
            </w:pPr>
            <w:r>
              <w:rPr>
                <w:rFonts w:ascii="Consolas" w:hAnsi="Consolas"/>
                <w:color w:val="9C274E"/>
                <w:sz w:val="18"/>
              </w:rPr>
              <w:t>Enrichment.resolve</w:t>
            </w:r>
            <w:r>
              <w:rPr>
                <w:sz w:val="19"/>
              </w:rPr>
              <w:t xml:space="preserve"> against any external provider</w:t>
            </w:r>
          </w:p>
        </w:tc>
      </w:tr>
      <w:tr>
        <w:tc>
          <w:tcPr>
            <w:tcW w:type="dxa" w:w="3249"/>
            <w:shd w:val="clear" w:color="auto" w:fill="F4F6F9"/>
          </w:tcPr>
          <w:p>
            <w:pPr>
              <w:spacing w:after="40" w:before="40"/>
              <w:jc w:val="left"/>
            </w:pPr>
            <w:r>
              <w:rPr>
                <w:rFonts w:ascii="Consolas" w:hAnsi="Consolas"/>
                <w:color w:val="9C274E"/>
                <w:sz w:val="18"/>
              </w:rPr>
              <w:t>P1-8</w:t>
            </w:r>
          </w:p>
        </w:tc>
        <w:tc>
          <w:tcPr>
            <w:tcW w:type="dxa" w:w="3249"/>
            <w:shd w:val="clear" w:color="auto" w:fill="F4F6F9"/>
          </w:tcPr>
          <w:p>
            <w:pPr>
              <w:spacing w:after="40" w:before="40"/>
              <w:jc w:val="left"/>
            </w:pPr>
            <w:r>
              <w:rPr>
                <w:sz w:val="19"/>
              </w:rPr>
              <w:t>Cosine top-k over embedded memory rows</w:t>
            </w:r>
          </w:p>
        </w:tc>
        <w:tc>
          <w:tcPr>
            <w:tcW w:type="dxa" w:w="3249"/>
            <w:shd w:val="clear" w:color="auto" w:fill="F4F6F9"/>
          </w:tcPr>
          <w:p>
            <w:pPr>
              <w:spacing w:after="40" w:before="40"/>
              <w:jc w:val="left"/>
            </w:pPr>
            <w:r>
              <w:rPr>
                <w:sz w:val="19"/>
              </w:rPr>
              <w:t>Reranking, hybrid keyword blending, recency weighting</w:t>
            </w:r>
          </w:p>
        </w:tc>
      </w:tr>
      <w:tr>
        <w:tc>
          <w:tcPr>
            <w:tcW w:type="dxa" w:w="3249"/>
          </w:tcPr>
          <w:p>
            <w:pPr>
              <w:spacing w:after="40" w:before="40"/>
              <w:jc w:val="left"/>
            </w:pPr>
            <w:r>
              <w:rPr>
                <w:rFonts w:ascii="Consolas" w:hAnsi="Consolas"/>
                <w:color w:val="9C274E"/>
                <w:sz w:val="18"/>
              </w:rPr>
              <w:t>P1-17</w:t>
            </w:r>
          </w:p>
        </w:tc>
        <w:tc>
          <w:tcPr>
            <w:tcW w:type="dxa" w:w="3249"/>
          </w:tcPr>
          <w:p>
            <w:pPr>
              <w:spacing w:after="40" w:before="40"/>
              <w:jc w:val="left"/>
            </w:pPr>
            <w:r>
              <w:rPr>
                <w:sz w:val="19"/>
              </w:rPr>
              <w:t>Outbound webhooks on entity change, with retry and a dead-letter path</w:t>
            </w:r>
          </w:p>
        </w:tc>
        <w:tc>
          <w:tcPr>
            <w:tcW w:type="dxa" w:w="3249"/>
          </w:tcPr>
          <w:p>
            <w:pPr>
              <w:spacing w:after="40" w:before="40"/>
              <w:jc w:val="left"/>
            </w:pPr>
            <w:r>
              <w:rPr>
                <w:sz w:val="19"/>
              </w:rPr>
              <w:t xml:space="preserve">MCP resource subscriptions and </w:t>
            </w:r>
            <w:r>
              <w:rPr>
                <w:rFonts w:ascii="Consolas" w:hAnsi="Consolas"/>
                <w:color w:val="9C274E"/>
                <w:sz w:val="18"/>
              </w:rPr>
              <w:t>listChanged</w:t>
            </w:r>
            <w:r>
              <w:rPr>
                <w:sz w:val="19"/>
              </w:rPr>
              <w:t xml:space="preserve"> notifications</w:t>
            </w:r>
          </w:p>
        </w:tc>
      </w:tr>
      <w:tr>
        <w:tc>
          <w:tcPr>
            <w:tcW w:type="dxa" w:w="3249"/>
            <w:shd w:val="clear" w:color="auto" w:fill="F4F6F9"/>
          </w:tcPr>
          <w:p>
            <w:pPr>
              <w:spacing w:after="40" w:before="40"/>
              <w:jc w:val="left"/>
            </w:pPr>
            <w:r>
              <w:rPr>
                <w:rFonts w:ascii="Consolas" w:hAnsi="Consolas"/>
                <w:color w:val="9C274E"/>
                <w:sz w:val="18"/>
              </w:rPr>
              <w:t>P1-14</w:t>
            </w:r>
          </w:p>
        </w:tc>
        <w:tc>
          <w:tcPr>
            <w:tcW w:type="dxa" w:w="3249"/>
            <w:shd w:val="clear" w:color="auto" w:fill="F4F6F9"/>
          </w:tcPr>
          <w:p>
            <w:pPr>
              <w:spacing w:after="40" w:before="40"/>
              <w:jc w:val="left"/>
            </w:pPr>
            <w:r>
              <w:rPr>
                <w:sz w:val="19"/>
              </w:rPr>
              <w:t xml:space="preserve">Mention capture, threshold rollup, human confirm through </w:t>
            </w:r>
            <w:r>
              <w:rPr>
                <w:rFonts w:ascii="Consolas" w:hAnsi="Consolas"/>
                <w:color w:val="9C274E"/>
                <w:sz w:val="18"/>
              </w:rPr>
              <w:t>AgentEscalation</w:t>
            </w:r>
          </w:p>
        </w:tc>
        <w:tc>
          <w:tcPr>
            <w:tcW w:type="dxa" w:w="3249"/>
            <w:shd w:val="clear" w:color="auto" w:fill="F4F6F9"/>
          </w:tcPr>
          <w:p>
            <w:pPr>
              <w:spacing w:after="40" w:before="40"/>
              <w:jc w:val="left"/>
            </w:pPr>
            <w:r>
              <w:rPr>
                <w:sz w:val="19"/>
              </w:rPr>
              <w:t xml:space="preserve">A learned extractor, tuned strength decay, back-fill of </w:t>
            </w:r>
            <w:r>
              <w:rPr>
                <w:rFonts w:ascii="Consolas" w:hAnsi="Consolas"/>
                <w:color w:val="9C274E"/>
                <w:sz w:val="18"/>
              </w:rPr>
              <w:t>origin</w:t>
            </w:r>
            <w:r>
              <w:rPr>
                <w:sz w:val="19"/>
              </w:rPr>
              <w:t xml:space="preserve"> across historical interactions</w:t>
            </w:r>
          </w:p>
        </w:tc>
      </w:tr>
      <w:tr>
        <w:tc>
          <w:tcPr>
            <w:tcW w:type="dxa" w:w="3249"/>
          </w:tcPr>
          <w:p>
            <w:pPr>
              <w:spacing w:after="40" w:before="40"/>
              <w:jc w:val="left"/>
            </w:pPr>
            <w:r>
              <w:rPr>
                <w:rFonts w:ascii="Consolas" w:hAnsi="Consolas"/>
                <w:color w:val="9C274E"/>
                <w:sz w:val="18"/>
              </w:rPr>
              <w:t>P1-15</w:t>
            </w:r>
          </w:p>
        </w:tc>
        <w:tc>
          <w:tcPr>
            <w:tcW w:type="dxa" w:w="3249"/>
          </w:tcPr>
          <w:p>
            <w:pPr>
              <w:spacing w:after="40" w:before="40"/>
              <w:jc w:val="left"/>
            </w:pPr>
            <w:r>
              <w:rPr>
                <w:rFonts w:ascii="Consolas" w:hAnsi="Consolas"/>
                <w:color w:val="9C274E"/>
                <w:sz w:val="18"/>
              </w:rPr>
              <w:t>neighbors</w:t>
            </w:r>
            <w:r>
              <w:rPr>
                <w:sz w:val="19"/>
              </w:rPr>
              <w:t xml:space="preserve"> and </w:t>
            </w:r>
            <w:r>
              <w:rPr>
                <w:rFonts w:ascii="Consolas" w:hAnsi="Consolas"/>
                <w:color w:val="9C274E"/>
                <w:sz w:val="18"/>
              </w:rPr>
              <w:t>path</w:t>
            </w:r>
          </w:p>
        </w:tc>
        <w:tc>
          <w:tcPr>
            <w:tcW w:type="dxa" w:w="3249"/>
          </w:tcPr>
          <w:p>
            <w:pPr>
              <w:spacing w:after="40" w:before="40"/>
              <w:jc w:val="left"/>
            </w:pPr>
            <w:r>
              <w:rPr>
                <w:rFonts w:ascii="Consolas" w:hAnsi="Consolas"/>
                <w:color w:val="9C274E"/>
                <w:sz w:val="18"/>
              </w:rPr>
              <w:t>subgraph</w:t>
            </w:r>
            <w:r>
              <w:rPr>
                <w:sz w:val="19"/>
              </w:rPr>
              <w:t xml:space="preserve"> and </w:t>
            </w:r>
            <w:r>
              <w:rPr>
                <w:rFonts w:ascii="Consolas" w:hAnsi="Consolas"/>
                <w:color w:val="9C274E"/>
                <w:sz w:val="18"/>
              </w:rPr>
              <w:t>influence(deal_id)</w:t>
            </w:r>
          </w:p>
        </w:tc>
      </w:tr>
    </w:tbl>
    <w:p>
      <w:pPr>
        <w:spacing w:after="80"/>
      </w:pPr>
    </w:p>
    <w:p>
      <w:pPr>
        <w:pStyle w:val="Heading4"/>
      </w:pPr>
      <w:r>
        <w:t>The demo this produces</w:t>
      </w:r>
    </w:p>
    <w:p>
      <w:r>
        <w:t xml:space="preserve">By the close of week 3 an agent can answer two questions that are impossible today. </w:t>
      </w:r>
      <w:r>
        <w:rPr>
          <w:i/>
        </w:rPr>
        <w:t>"What did we sell this quarter, by owner?"</w:t>
      </w:r>
      <w:r>
        <w:t xml:space="preserve"> becomes one </w:t>
      </w:r>
      <w:r>
        <w:rPr>
          <w:rFonts w:ascii="Consolas" w:hAnsi="Consolas"/>
          <w:color w:val="9C274E"/>
          <w:sz w:val="20"/>
        </w:rPr>
        <w:t>SalesOrder.aggregate</w:t>
      </w:r>
      <w:r>
        <w:t xml:space="preserve"> call instead of sixteen paginated round trips. </w:t>
      </w:r>
      <w:r>
        <w:rPr>
          <w:i/>
        </w:rPr>
        <w:t>"Who is the warm path into this deal?"</w:t>
      </w:r>
      <w:r>
        <w:t xml:space="preserve"> becomes one </w:t>
      </w:r>
      <w:r>
        <w:rPr>
          <w:rFonts w:ascii="Consolas" w:hAnsi="Consolas"/>
          <w:color w:val="9C274E"/>
          <w:sz w:val="20"/>
        </w:rPr>
        <w:t>Relationship.path</w:t>
      </w:r>
      <w:r>
        <w:t xml:space="preserve"> call over edges that were never typed in by anyone — and because each edge carries its evidence, </w:t>
      </w:r>
      <w:r>
        <w:rPr>
          <w:rFonts w:ascii="Consolas" w:hAnsi="Consolas"/>
          <w:color w:val="9C274E"/>
          <w:sz w:val="20"/>
        </w:rPr>
        <w:t>job_ledger.replay</w:t>
      </w:r>
      <w:r>
        <w:t xml:space="preserve"> can show exactly which meetings and mentions produced it.</w:t>
      </w:r>
    </w:p>
    <w:p>
      <w:r>
        <w:t xml:space="preserve">That second one is the whole pitch in </w:t>
      </w:r>
      <w:hyperlink r:id="rId14">
        <w:r>
          <w:rPr>
            <w:color w:val="2F5496"/>
            <w:u w:val="single"/>
          </w:rPr>
          <w:t>6.2</w:t>
        </w:r>
      </w:hyperlink>
      <w:r>
        <w:t>, demonstrable in three weeks.</w:t>
      </w:r>
    </w:p>
    <w:p>
      <w:pPr>
        <w:pStyle w:val="Heading3"/>
      </w:pPr>
      <w:r>
        <w:t>7.4 What is deferred, and why</w:t>
      </w:r>
    </w:p>
    <w:p>
      <w:r>
        <w:t>Seventeen gaps are out of scope. They are not a backlog of things nobody got to — each is excluded for a specific reason, and the reason determines when it comes back.</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3249"/>
        <w:gridCol w:w="3249"/>
        <w:gridCol w:w="3249"/>
      </w:tblGrid>
      <w:tr>
        <w:trPr>
          <w:tblHeader w:val="true"/>
        </w:trPr>
        <w:tc>
          <w:tcPr>
            <w:tcW w:type="dxa" w:w="3249"/>
            <w:shd w:val="clear" w:color="auto" w:fill="1F3864"/>
          </w:tcPr>
          <w:p>
            <w:pPr>
              <w:spacing w:after="40" w:before="40"/>
              <w:jc w:val="left"/>
            </w:pPr>
            <w:r>
              <w:rPr>
                <w:b/>
                <w:color w:val="FFFFFF"/>
                <w:sz w:val="19"/>
              </w:rPr>
              <w:t>Reason</w:t>
            </w:r>
          </w:p>
        </w:tc>
        <w:tc>
          <w:tcPr>
            <w:tcW w:type="dxa" w:w="3249"/>
            <w:shd w:val="clear" w:color="auto" w:fill="1F3864"/>
          </w:tcPr>
          <w:p>
            <w:pPr>
              <w:spacing w:after="40" w:before="40"/>
              <w:jc w:val="left"/>
            </w:pPr>
            <w:r>
              <w:rPr>
                <w:b/>
                <w:color w:val="FFFFFF"/>
                <w:sz w:val="19"/>
              </w:rPr>
              <w:t>Gaps</w:t>
            </w:r>
          </w:p>
        </w:tc>
        <w:tc>
          <w:tcPr>
            <w:tcW w:type="dxa" w:w="3249"/>
            <w:shd w:val="clear" w:color="auto" w:fill="1F3864"/>
          </w:tcPr>
          <w:p>
            <w:pPr>
              <w:spacing w:after="40" w:before="40"/>
              <w:jc w:val="left"/>
            </w:pPr>
            <w:r>
              <w:rPr>
                <w:b/>
                <w:color w:val="FFFFFF"/>
                <w:sz w:val="19"/>
              </w:rPr>
              <w:t>Why three weeks cannot absorb it</w:t>
            </w:r>
          </w:p>
        </w:tc>
      </w:tr>
      <w:tr>
        <w:tc>
          <w:tcPr>
            <w:tcW w:type="dxa" w:w="3249"/>
          </w:tcPr>
          <w:p>
            <w:pPr>
              <w:spacing w:after="40" w:before="40"/>
              <w:jc w:val="left"/>
            </w:pPr>
            <w:r>
              <w:rPr>
                <w:b/>
                <w:sz w:val="19"/>
              </w:rPr>
              <w:t>Gated on a third party</w:t>
            </w:r>
          </w:p>
        </w:tc>
        <w:tc>
          <w:tcPr>
            <w:tcW w:type="dxa" w:w="3249"/>
          </w:tcPr>
          <w:p>
            <w:pPr>
              <w:spacing w:after="40" w:before="40"/>
              <w:jc w:val="left"/>
            </w:pPr>
            <w:r>
              <w:rPr>
                <w:rFonts w:ascii="Consolas" w:hAnsi="Consolas"/>
                <w:color w:val="9C274E"/>
                <w:sz w:val="18"/>
              </w:rPr>
              <w:t>P1-1</w:t>
            </w:r>
            <w:r>
              <w:rPr>
                <w:sz w:val="19"/>
              </w:rPr>
              <w:t xml:space="preserve">, </w:t>
            </w:r>
            <w:r>
              <w:rPr>
                <w:rFonts w:ascii="Consolas" w:hAnsi="Consolas"/>
                <w:color w:val="9C274E"/>
                <w:sz w:val="18"/>
              </w:rPr>
              <w:t>P1-3</w:t>
            </w:r>
            <w:r>
              <w:rPr>
                <w:sz w:val="19"/>
              </w:rPr>
              <w:t xml:space="preserve">, </w:t>
            </w:r>
            <w:r>
              <w:rPr>
                <w:rFonts w:ascii="Consolas" w:hAnsi="Consolas"/>
                <w:color w:val="9C274E"/>
                <w:sz w:val="18"/>
              </w:rPr>
              <w:t>P1-16</w:t>
            </w:r>
          </w:p>
        </w:tc>
        <w:tc>
          <w:tcPr>
            <w:tcW w:type="dxa" w:w="3249"/>
          </w:tcPr>
          <w:p>
            <w:pPr>
              <w:spacing w:after="40" w:before="40"/>
              <w:jc w:val="left"/>
            </w:pPr>
            <w:r>
              <w:rPr>
                <w:sz w:val="19"/>
              </w:rPr>
              <w:t>GST e-invoicing needs IRP certification, outbound email needs domain warm-up and deliverability reputation, OAuth 2.1 needs a consent surface and a security review. Calendar time, not engineering time — no staffing level compresses them</w:t>
            </w:r>
          </w:p>
        </w:tc>
      </w:tr>
      <w:tr>
        <w:tc>
          <w:tcPr>
            <w:tcW w:type="dxa" w:w="3249"/>
            <w:shd w:val="clear" w:color="auto" w:fill="F4F6F9"/>
          </w:tcPr>
          <w:p>
            <w:pPr>
              <w:spacing w:after="40" w:before="40"/>
              <w:jc w:val="left"/>
            </w:pPr>
            <w:r>
              <w:rPr>
                <w:b/>
                <w:sz w:val="19"/>
              </w:rPr>
              <w:t>A product, not a tool</w:t>
            </w:r>
          </w:p>
        </w:tc>
        <w:tc>
          <w:tcPr>
            <w:tcW w:type="dxa" w:w="3249"/>
            <w:shd w:val="clear" w:color="auto" w:fill="F4F6F9"/>
          </w:tcPr>
          <w:p>
            <w:pPr>
              <w:spacing w:after="40" w:before="40"/>
              <w:jc w:val="left"/>
            </w:pPr>
            <w:r>
              <w:rPr>
                <w:rFonts w:ascii="Consolas" w:hAnsi="Consolas"/>
                <w:color w:val="9C274E"/>
                <w:sz w:val="18"/>
              </w:rPr>
              <w:t>P0-6</w:t>
            </w:r>
            <w:r>
              <w:rPr>
                <w:sz w:val="19"/>
              </w:rPr>
              <w:t xml:space="preserve">, </w:t>
            </w:r>
            <w:r>
              <w:rPr>
                <w:rFonts w:ascii="Consolas" w:hAnsi="Consolas"/>
                <w:color w:val="9C274E"/>
                <w:sz w:val="18"/>
              </w:rPr>
              <w:t>P0-7</w:t>
            </w:r>
            <w:r>
              <w:rPr>
                <w:sz w:val="19"/>
              </w:rPr>
              <w:t xml:space="preserve">, </w:t>
            </w:r>
            <w:r>
              <w:rPr>
                <w:rFonts w:ascii="Consolas" w:hAnsi="Consolas"/>
                <w:color w:val="9C274E"/>
                <w:sz w:val="18"/>
              </w:rPr>
              <w:t>P1-2</w:t>
            </w:r>
            <w:r>
              <w:rPr>
                <w:sz w:val="19"/>
              </w:rPr>
              <w:t xml:space="preserve">, </w:t>
            </w:r>
            <w:r>
              <w:rPr>
                <w:rFonts w:ascii="Consolas" w:hAnsi="Consolas"/>
                <w:color w:val="9C274E"/>
                <w:sz w:val="18"/>
              </w:rPr>
              <w:t>P1-7</w:t>
            </w:r>
            <w:r>
              <w:rPr>
                <w:sz w:val="19"/>
              </w:rPr>
              <w:t xml:space="preserve">, </w:t>
            </w:r>
            <w:r>
              <w:rPr>
                <w:rFonts w:ascii="Consolas" w:hAnsi="Consolas"/>
                <w:color w:val="9C274E"/>
                <w:sz w:val="18"/>
              </w:rPr>
              <w:t>P1-9</w:t>
            </w:r>
            <w:r>
              <w:rPr>
                <w:sz w:val="19"/>
              </w:rPr>
              <w:t xml:space="preserve">, </w:t>
            </w:r>
            <w:r>
              <w:rPr>
                <w:rFonts w:ascii="Consolas" w:hAnsi="Consolas"/>
                <w:color w:val="9C274E"/>
                <w:sz w:val="18"/>
              </w:rPr>
              <w:t>P2-3</w:t>
            </w:r>
          </w:p>
        </w:tc>
        <w:tc>
          <w:tcPr>
            <w:tcW w:type="dxa" w:w="3249"/>
            <w:shd w:val="clear" w:color="auto" w:fill="F4F6F9"/>
          </w:tcPr>
          <w:p>
            <w:pPr>
              <w:spacing w:after="40" w:before="40"/>
              <w:jc w:val="left"/>
            </w:pPr>
            <w:r>
              <w:rPr>
                <w:sz w:val="19"/>
              </w:rPr>
              <w:t>The quote-to-cash chain, agent authoring with versioning and publish, ticketing with SLA clocks, call intelligence with transcripts, RAG with citation spans, and a policy DSL with simulate and diff. Each is a quarter-scale surface whose v0 would be misleading rather than useful</w:t>
            </w:r>
          </w:p>
        </w:tc>
      </w:tr>
      <w:tr>
        <w:tc>
          <w:tcPr>
            <w:tcW w:type="dxa" w:w="3249"/>
          </w:tcPr>
          <w:p>
            <w:pPr>
              <w:spacing w:after="40" w:before="40"/>
              <w:jc w:val="left"/>
            </w:pPr>
            <w:r>
              <w:rPr>
                <w:b/>
                <w:sz w:val="19"/>
              </w:rPr>
              <w:t>Unlocked by this sprint, not in it</w:t>
            </w:r>
          </w:p>
        </w:tc>
        <w:tc>
          <w:tcPr>
            <w:tcW w:type="dxa" w:w="3249"/>
          </w:tcPr>
          <w:p>
            <w:pPr>
              <w:spacing w:after="40" w:before="40"/>
              <w:jc w:val="left"/>
            </w:pPr>
            <w:r>
              <w:rPr>
                <w:rFonts w:ascii="Consolas" w:hAnsi="Consolas"/>
                <w:color w:val="9C274E"/>
                <w:sz w:val="18"/>
              </w:rPr>
              <w:t>P1-10</w:t>
            </w:r>
            <w:r>
              <w:rPr>
                <w:sz w:val="19"/>
              </w:rPr>
              <w:t xml:space="preserve">, </w:t>
            </w:r>
            <w:r>
              <w:rPr>
                <w:rFonts w:ascii="Consolas" w:hAnsi="Consolas"/>
                <w:color w:val="9C274E"/>
                <w:sz w:val="18"/>
              </w:rPr>
              <w:t>P1-11</w:t>
            </w:r>
            <w:r>
              <w:rPr>
                <w:sz w:val="19"/>
              </w:rPr>
              <w:t xml:space="preserve">, </w:t>
            </w:r>
            <w:r>
              <w:rPr>
                <w:rFonts w:ascii="Consolas" w:hAnsi="Consolas"/>
                <w:color w:val="9C274E"/>
                <w:sz w:val="18"/>
              </w:rPr>
              <w:t>P1-12</w:t>
            </w:r>
          </w:p>
        </w:tc>
        <w:tc>
          <w:tcPr>
            <w:tcW w:type="dxa" w:w="3249"/>
          </w:tcPr>
          <w:p>
            <w:pPr>
              <w:spacing w:after="40" w:before="40"/>
              <w:jc w:val="left"/>
            </w:pPr>
            <w:r>
              <w:rPr>
                <w:sz w:val="19"/>
              </w:rPr>
              <w:t xml:space="preserve">Eval gating needs the authoring surface from </w:t>
            </w:r>
            <w:r>
              <w:rPr>
                <w:rFonts w:ascii="Consolas" w:hAnsi="Consolas"/>
                <w:color w:val="9C274E"/>
                <w:sz w:val="18"/>
              </w:rPr>
              <w:t>P0-7</w:t>
            </w:r>
            <w:r>
              <w:rPr>
                <w:sz w:val="19"/>
              </w:rPr>
              <w:t xml:space="preserve"> to gate. Forecast rollup gets much cheaper once </w:t>
            </w:r>
            <w:r>
              <w:rPr>
                <w:rFonts w:ascii="Consolas" w:hAnsi="Consolas"/>
                <w:color w:val="9C274E"/>
                <w:sz w:val="18"/>
              </w:rPr>
              <w:t>P0-1</w:t>
            </w:r>
            <w:r>
              <w:rPr>
                <w:sz w:val="19"/>
              </w:rPr>
              <w:t xml:space="preserve"> exists but still needs a quota and territory model. Scoring needs the graph plus interaction history to train on</w:t>
            </w:r>
          </w:p>
        </w:tc>
      </w:tr>
      <w:tr>
        <w:tc>
          <w:tcPr>
            <w:tcW w:type="dxa" w:w="3249"/>
            <w:shd w:val="clear" w:color="auto" w:fill="F4F6F9"/>
          </w:tcPr>
          <w:p>
            <w:pPr>
              <w:spacing w:after="40" w:before="40"/>
              <w:jc w:val="left"/>
            </w:pPr>
            <w:r>
              <w:rPr>
                <w:b/>
                <w:sz w:val="19"/>
              </w:rPr>
              <w:t>Next up, weeks 4 to 8</w:t>
            </w:r>
          </w:p>
        </w:tc>
        <w:tc>
          <w:tcPr>
            <w:tcW w:type="dxa" w:w="3249"/>
            <w:shd w:val="clear" w:color="auto" w:fill="F4F6F9"/>
          </w:tcPr>
          <w:p>
            <w:pPr>
              <w:spacing w:after="40" w:before="40"/>
              <w:jc w:val="left"/>
            </w:pPr>
            <w:r>
              <w:rPr>
                <w:rFonts w:ascii="Consolas" w:hAnsi="Consolas"/>
                <w:color w:val="9C274E"/>
                <w:sz w:val="18"/>
              </w:rPr>
              <w:t>P1-4</w:t>
            </w:r>
            <w:r>
              <w:rPr>
                <w:sz w:val="19"/>
              </w:rPr>
              <w:t xml:space="preserve">, </w:t>
            </w:r>
            <w:r>
              <w:rPr>
                <w:rFonts w:ascii="Consolas" w:hAnsi="Consolas"/>
                <w:color w:val="9C274E"/>
                <w:sz w:val="18"/>
              </w:rPr>
              <w:t>P1-5</w:t>
            </w:r>
            <w:r>
              <w:rPr>
                <w:sz w:val="19"/>
              </w:rPr>
              <w:t xml:space="preserve">, </w:t>
            </w:r>
            <w:r>
              <w:rPr>
                <w:rFonts w:ascii="Consolas" w:hAnsi="Consolas"/>
                <w:color w:val="9C274E"/>
                <w:sz w:val="18"/>
              </w:rPr>
              <w:t>P1-6</w:t>
            </w:r>
            <w:r>
              <w:rPr>
                <w:sz w:val="19"/>
              </w:rPr>
              <w:t xml:space="preserve">, </w:t>
            </w:r>
            <w:r>
              <w:rPr>
                <w:rFonts w:ascii="Consolas" w:hAnsi="Consolas"/>
                <w:color w:val="9C274E"/>
                <w:sz w:val="18"/>
              </w:rPr>
              <w:t>P2-1</w:t>
            </w:r>
            <w:r>
              <w:rPr>
                <w:sz w:val="19"/>
              </w:rPr>
              <w:t xml:space="preserve">, </w:t>
            </w:r>
            <w:r>
              <w:rPr>
                <w:rFonts w:ascii="Consolas" w:hAnsi="Consolas"/>
                <w:color w:val="9C274E"/>
                <w:sz w:val="18"/>
              </w:rPr>
              <w:t>P2-2</w:t>
            </w:r>
          </w:p>
        </w:tc>
        <w:tc>
          <w:tcPr>
            <w:tcW w:type="dxa" w:w="3249"/>
            <w:shd w:val="clear" w:color="auto" w:fill="F4F6F9"/>
          </w:tcPr>
          <w:p>
            <w:pPr>
              <w:spacing w:after="40" w:before="40"/>
              <w:jc w:val="left"/>
            </w:pPr>
            <w:r>
              <w:rPr>
                <w:sz w:val="19"/>
              </w:rPr>
              <w:t xml:space="preserve">Campaign send, channel send on the five channels </w:t>
            </w:r>
            <w:r>
              <w:rPr>
                <w:rFonts w:ascii="Consolas" w:hAnsi="Consolas"/>
                <w:color w:val="9C274E"/>
                <w:sz w:val="18"/>
              </w:rPr>
              <w:t>AgentSession</w:t>
            </w:r>
            <w:r>
              <w:rPr>
                <w:sz w:val="19"/>
              </w:rPr>
              <w:t xml:space="preserve"> already declares, meeting booking, async job handles, signed audit-pack export. All viable, all genuinely valuable, none load-bearing for the demo this sprint has to produce</w:t>
            </w:r>
          </w:p>
        </w:tc>
      </w:tr>
    </w:tbl>
    <w:p>
      <w:pPr>
        <w:spacing w:after="80"/>
      </w:pPr>
    </w:p>
    <w:p>
      <w:pPr>
        <w:spacing w:before="160" w:after="200"/>
        <w:ind w:left="227" w:right="113"/>
        <w:pBdr>
          <w:left w:val="single" w:sz="24" w:space="8" w:color="2F5496"/>
        </w:pBdr>
        <w:shd w:val="clear" w:color="auto" w:fill="F7F9FC"/>
      </w:pPr>
      <w:r>
        <w:rPr>
          <w:b/>
          <w:color w:val="2B3340"/>
          <w:sz w:val="20"/>
        </w:rPr>
        <w:t>What not to promise during these three weeks.</w:t>
      </w:r>
      <w:r>
        <w:rPr>
          <w:color w:val="2B3340"/>
          <w:sz w:val="20"/>
        </w:rPr>
        <w:t xml:space="preserve"> The two gaps that most often come up in buyer conversations — invoicing with GST filing, and agent authoring — are both deferred, and both are </w:t>
      </w:r>
      <w:r>
        <w:rPr>
          <w:rFonts w:ascii="Consolas" w:hAnsi="Consolas"/>
          <w:color w:val="9C274E"/>
          <w:sz w:val="19"/>
        </w:rPr>
        <w:t>P0</w:t>
      </w:r>
      <w:r>
        <w:rPr>
          <w:color w:val="2B3340"/>
          <w:sz w:val="20"/>
        </w:rPr>
        <w:t xml:space="preserve">. That is the honest cost of choosing breadth-through-mechanisms plus one differentiator. If a live deal depends on either, this plan is the wrong plan and the sprint should be spent on </w:t>
      </w:r>
      <w:r>
        <w:rPr>
          <w:rFonts w:ascii="Consolas" w:hAnsi="Consolas"/>
          <w:color w:val="9C274E"/>
          <w:sz w:val="19"/>
        </w:rPr>
        <w:t>P0-6</w:t>
      </w:r>
      <w:r>
        <w:rPr>
          <w:color w:val="2B3340"/>
          <w:sz w:val="20"/>
        </w:rPr>
        <w:t xml:space="preserve"> alone.</w:t>
      </w:r>
    </w:p>
    <w:p>
      <w:pPr>
        <w:pStyle w:val="Heading3"/>
      </w:pPr>
      <w:r>
        <w:t>7.5 If the team is two, not three</w:t>
      </w:r>
    </w:p>
    <w:p>
      <w:r>
        <w:t xml:space="preserve">Cut </w:t>
      </w:r>
      <w:r>
        <w:rPr>
          <w:b/>
        </w:rPr>
        <w:t>Track C whole</w:t>
      </w:r>
      <w:r>
        <w:t>. Do not thin all three tracks by a third.</w:t>
      </w:r>
    </w:p>
    <w:tbl>
      <w:tblPr>
        <w:tblStyle w:val="TableGrid"/>
        <w:tblW w:type="auto" w:w="0"/>
        <w:jc w:val="center"/>
        <w:tblLayout w:type="autofit"/>
        <w:tblLook w:firstColumn="1" w:firstRow="1" w:lastColumn="0" w:lastRow="0" w:noHBand="0" w:noVBand="1" w:val="04A0"/>
        <w:tblCellMar>
          <w:top w:w="60" w:type="dxa"/>
          <w:bottom w:w="60" w:type="dxa"/>
          <w:left w:w="110" w:type="dxa"/>
          <w:right w:w="110" w:type="dxa"/>
        </w:tblCellMar>
      </w:tblPr>
      <w:tblGrid>
        <w:gridCol w:w="3249"/>
        <w:gridCol w:w="3249"/>
        <w:gridCol w:w="3249"/>
      </w:tblGrid>
      <w:tr>
        <w:trPr>
          <w:tblHeader w:val="true"/>
        </w:trPr>
        <w:tc>
          <w:tcPr>
            <w:tcW w:type="dxa" w:w="3249"/>
            <w:shd w:val="clear" w:color="auto" w:fill="1F3864"/>
          </w:tcPr>
          <w:p>
            <w:pPr>
              <w:spacing w:after="40" w:before="40"/>
              <w:jc w:val="left"/>
            </w:pPr>
          </w:p>
        </w:tc>
        <w:tc>
          <w:tcPr>
            <w:tcW w:type="dxa" w:w="3249"/>
            <w:shd w:val="clear" w:color="auto" w:fill="1F3864"/>
          </w:tcPr>
          <w:p>
            <w:pPr>
              <w:spacing w:after="40" w:before="40"/>
              <w:jc w:val="center"/>
            </w:pPr>
            <w:r>
              <w:rPr>
                <w:b/>
                <w:color w:val="FFFFFF"/>
                <w:sz w:val="19"/>
              </w:rPr>
              <w:t>3 engineers</w:t>
            </w:r>
          </w:p>
        </w:tc>
        <w:tc>
          <w:tcPr>
            <w:tcW w:type="dxa" w:w="3249"/>
            <w:shd w:val="clear" w:color="auto" w:fill="1F3864"/>
          </w:tcPr>
          <w:p>
            <w:pPr>
              <w:spacing w:after="40" w:before="40"/>
              <w:jc w:val="center"/>
            </w:pPr>
            <w:r>
              <w:rPr>
                <w:b/>
                <w:color w:val="FFFFFF"/>
                <w:sz w:val="19"/>
              </w:rPr>
              <w:t>2 engineers</w:t>
            </w:r>
          </w:p>
        </w:tc>
      </w:tr>
      <w:tr>
        <w:tc>
          <w:tcPr>
            <w:tcW w:type="dxa" w:w="3249"/>
          </w:tcPr>
          <w:p>
            <w:pPr>
              <w:spacing w:after="40" w:before="40"/>
              <w:jc w:val="left"/>
            </w:pPr>
            <w:r>
              <w:rPr>
                <w:sz w:val="19"/>
              </w:rPr>
              <w:t>Capacity</w:t>
            </w:r>
          </w:p>
        </w:tc>
        <w:tc>
          <w:tcPr>
            <w:tcW w:type="dxa" w:w="3249"/>
          </w:tcPr>
          <w:p>
            <w:pPr>
              <w:spacing w:after="40" w:before="40"/>
              <w:jc w:val="center"/>
            </w:pPr>
            <w:r>
              <w:rPr>
                <w:sz w:val="19"/>
              </w:rPr>
              <w:t>45 days</w:t>
            </w:r>
          </w:p>
        </w:tc>
        <w:tc>
          <w:tcPr>
            <w:tcW w:type="dxa" w:w="3249"/>
          </w:tcPr>
          <w:p>
            <w:pPr>
              <w:spacing w:after="40" w:before="40"/>
              <w:jc w:val="center"/>
            </w:pPr>
            <w:r>
              <w:rPr>
                <w:sz w:val="19"/>
              </w:rPr>
              <w:t>30 days</w:t>
            </w:r>
          </w:p>
        </w:tc>
      </w:tr>
      <w:tr>
        <w:tc>
          <w:tcPr>
            <w:tcW w:type="dxa" w:w="3249"/>
            <w:shd w:val="clear" w:color="auto" w:fill="F4F6F9"/>
          </w:tcPr>
          <w:p>
            <w:pPr>
              <w:spacing w:after="40" w:before="40"/>
              <w:jc w:val="left"/>
            </w:pPr>
            <w:r>
              <w:rPr>
                <w:sz w:val="19"/>
              </w:rPr>
              <w:t>Planned</w:t>
            </w:r>
          </w:p>
        </w:tc>
        <w:tc>
          <w:tcPr>
            <w:tcW w:type="dxa" w:w="3249"/>
            <w:shd w:val="clear" w:color="auto" w:fill="F4F6F9"/>
          </w:tcPr>
          <w:p>
            <w:pPr>
              <w:spacing w:after="40" w:before="40"/>
              <w:jc w:val="center"/>
            </w:pPr>
            <w:r>
              <w:rPr>
                <w:sz w:val="19"/>
              </w:rPr>
              <w:t>35 days</w:t>
            </w:r>
          </w:p>
        </w:tc>
        <w:tc>
          <w:tcPr>
            <w:tcW w:type="dxa" w:w="3249"/>
            <w:shd w:val="clear" w:color="auto" w:fill="F4F6F9"/>
          </w:tcPr>
          <w:p>
            <w:pPr>
              <w:spacing w:after="40" w:before="40"/>
              <w:jc w:val="center"/>
            </w:pPr>
            <w:r>
              <w:rPr>
                <w:sz w:val="19"/>
              </w:rPr>
              <w:t>23 days</w:t>
            </w:r>
          </w:p>
        </w:tc>
      </w:tr>
      <w:tr>
        <w:tc>
          <w:tcPr>
            <w:tcW w:type="dxa" w:w="3249"/>
          </w:tcPr>
          <w:p>
            <w:pPr>
              <w:spacing w:after="40" w:before="40"/>
              <w:jc w:val="left"/>
            </w:pPr>
            <w:r>
              <w:rPr>
                <w:sz w:val="19"/>
              </w:rPr>
              <w:t>Gaps closed</w:t>
            </w:r>
          </w:p>
        </w:tc>
        <w:tc>
          <w:tcPr>
            <w:tcW w:type="dxa" w:w="3249"/>
          </w:tcPr>
          <w:p>
            <w:pPr>
              <w:spacing w:after="40" w:before="40"/>
              <w:jc w:val="center"/>
            </w:pPr>
            <w:r>
              <w:rPr>
                <w:sz w:val="19"/>
              </w:rPr>
              <w:t>13</w:t>
            </w:r>
          </w:p>
        </w:tc>
        <w:tc>
          <w:tcPr>
            <w:tcW w:type="dxa" w:w="3249"/>
          </w:tcPr>
          <w:p>
            <w:pPr>
              <w:spacing w:after="40" w:before="40"/>
              <w:jc w:val="center"/>
            </w:pPr>
            <w:r>
              <w:rPr>
                <w:b/>
                <w:sz w:val="19"/>
              </w:rPr>
              <w:t>8</w:t>
            </w:r>
          </w:p>
        </w:tc>
      </w:tr>
      <w:tr>
        <w:tc>
          <w:tcPr>
            <w:tcW w:type="dxa" w:w="3249"/>
            <w:shd w:val="clear" w:color="auto" w:fill="F4F6F9"/>
          </w:tcPr>
          <w:p>
            <w:pPr>
              <w:spacing w:after="40" w:before="40"/>
              <w:jc w:val="left"/>
            </w:pPr>
            <w:r>
              <w:rPr>
                <w:sz w:val="19"/>
              </w:rPr>
              <w:t>P0 closed</w:t>
            </w:r>
          </w:p>
        </w:tc>
        <w:tc>
          <w:tcPr>
            <w:tcW w:type="dxa" w:w="3249"/>
            <w:shd w:val="clear" w:color="auto" w:fill="F4F6F9"/>
          </w:tcPr>
          <w:p>
            <w:pPr>
              <w:spacing w:after="40" w:before="40"/>
              <w:jc w:val="center"/>
            </w:pPr>
            <w:r>
              <w:rPr>
                <w:sz w:val="19"/>
              </w:rPr>
              <w:t>6 of 8</w:t>
            </w:r>
          </w:p>
        </w:tc>
        <w:tc>
          <w:tcPr>
            <w:tcW w:type="dxa" w:w="3249"/>
            <w:shd w:val="clear" w:color="auto" w:fill="F4F6F9"/>
          </w:tcPr>
          <w:p>
            <w:pPr>
              <w:spacing w:after="40" w:before="40"/>
              <w:jc w:val="center"/>
            </w:pPr>
            <w:r>
              <w:rPr>
                <w:sz w:val="19"/>
              </w:rPr>
              <w:t>5 of 8</w:t>
            </w:r>
          </w:p>
        </w:tc>
      </w:tr>
      <w:tr>
        <w:tc>
          <w:tcPr>
            <w:tcW w:type="dxa" w:w="3249"/>
          </w:tcPr>
          <w:p>
            <w:pPr>
              <w:spacing w:after="40" w:before="40"/>
              <w:jc w:val="left"/>
            </w:pPr>
            <w:r>
              <w:rPr>
                <w:sz w:val="19"/>
              </w:rPr>
              <w:t>Tracks</w:t>
            </w:r>
          </w:p>
        </w:tc>
        <w:tc>
          <w:tcPr>
            <w:tcW w:type="dxa" w:w="3249"/>
          </w:tcPr>
          <w:p>
            <w:pPr>
              <w:spacing w:after="40" w:before="40"/>
              <w:jc w:val="center"/>
            </w:pPr>
            <w:r>
              <w:rPr>
                <w:sz w:val="19"/>
              </w:rPr>
              <w:t>A, B, C</w:t>
            </w:r>
          </w:p>
        </w:tc>
        <w:tc>
          <w:tcPr>
            <w:tcW w:type="dxa" w:w="3249"/>
          </w:tcPr>
          <w:p>
            <w:pPr>
              <w:spacing w:after="40" w:before="40"/>
              <w:jc w:val="center"/>
            </w:pPr>
            <w:r>
              <w:rPr>
                <w:sz w:val="19"/>
              </w:rPr>
              <w:t>A, B</w:t>
            </w:r>
          </w:p>
        </w:tc>
      </w:tr>
    </w:tbl>
    <w:p>
      <w:pPr>
        <w:spacing w:after="80"/>
      </w:pPr>
    </w:p>
    <w:p>
      <w:r>
        <w:t>Track A is the breadth engine and Track B is the differentiator; both lose their point if delivered partially. Track C is a collection of independent small wins, which makes it the only genuinely severable track.</w:t>
      </w:r>
    </w:p>
    <w:p>
      <w:r>
        <w:t xml:space="preserve">The real loss is </w:t>
      </w:r>
      <w:r>
        <w:rPr>
          <w:rFonts w:ascii="Consolas" w:hAnsi="Consolas"/>
          <w:color w:val="9C274E"/>
          <w:sz w:val="20"/>
        </w:rPr>
        <w:t>P0-3</w:t>
      </w:r>
      <w:r>
        <w:t xml:space="preserve">. Returning all 247 schemas on every </w:t>
      </w:r>
      <w:r>
        <w:rPr>
          <w:rFonts w:ascii="Consolas" w:hAnsi="Consolas"/>
          <w:color w:val="9C274E"/>
          <w:sz w:val="20"/>
        </w:rPr>
        <w:t>initialize</w:t>
      </w:r>
      <w:r>
        <w:t xml:space="preserve"> is a per-call cost every agent pays forever, and it is three days of work. </w:t>
      </w:r>
      <w:r>
        <w:rPr>
          <w:b/>
        </w:rPr>
        <w:t>If a third engineer becomes available for even one week, spend it there</w:t>
      </w:r>
      <w:r>
        <w:t xml:space="preserve"> rather than on anything else in Track C.</w:t>
      </w:r>
    </w:p>
    <w:p>
      <w:pPr>
        <w:pStyle w:val="Heading3"/>
      </w:pPr>
      <w:r>
        <w:t>7.6 Exit criteria</w:t>
      </w:r>
    </w:p>
    <w:p>
      <w:r>
        <w:t>The sprint succeeded if each of these is true on the last day. Each is a behaviour, not a merged pull request.</w:t>
      </w:r>
    </w:p>
    <w:p>
      <w:pPr>
        <w:pStyle w:val="ListNumber"/>
        <w:spacing w:after="60"/>
      </w:pPr>
      <w:r>
        <w:t xml:space="preserve">One call returns revenue grouped by owner for a quarter, with no client-side summing. </w:t>
      </w:r>
      <w:r>
        <w:rPr>
          <w:rFonts w:ascii="Consolas" w:hAnsi="Consolas"/>
          <w:color w:val="9C274E"/>
          <w:sz w:val="20"/>
        </w:rPr>
        <w:t>P0-1</w:t>
      </w:r>
    </w:p>
    <w:p>
      <w:pPr>
        <w:pStyle w:val="ListNumber"/>
        <w:spacing w:after="60"/>
      </w:pPr>
      <w:r>
        <w:t xml:space="preserve">Re-owning 300 leads is one call that reports per-record failures, not 300 calls. </w:t>
      </w:r>
      <w:r>
        <w:rPr>
          <w:rFonts w:ascii="Consolas" w:hAnsi="Consolas"/>
          <w:color w:val="9C274E"/>
          <w:sz w:val="20"/>
        </w:rPr>
        <w:t>P0-5</w:t>
      </w:r>
    </w:p>
    <w:p>
      <w:pPr>
        <w:pStyle w:val="ListNumber"/>
        <w:spacing w:after="60"/>
      </w:pPr>
      <w:r>
        <w:t xml:space="preserve">Every </w:t>
      </w:r>
      <w:r>
        <w:rPr>
          <w:rFonts w:ascii="Consolas" w:hAnsi="Consolas"/>
          <w:color w:val="9C274E"/>
          <w:sz w:val="20"/>
        </w:rPr>
        <w:t>-32602</w:t>
      </w:r>
      <w:r>
        <w:t xml:space="preserve"> response names the field that was missing. </w:t>
      </w:r>
      <w:r>
        <w:rPr>
          <w:rFonts w:ascii="Consolas" w:hAnsi="Consolas"/>
          <w:color w:val="9C274E"/>
          <w:sz w:val="20"/>
        </w:rPr>
        <w:t>P0-4</w:t>
      </w:r>
    </w:p>
    <w:p>
      <w:pPr>
        <w:pStyle w:val="ListNumber"/>
        <w:spacing w:after="60"/>
      </w:pPr>
      <w:r>
        <w:t xml:space="preserve">One query returns matching Leads, Deals, Parties, Notes and Activities together. </w:t>
      </w:r>
      <w:r>
        <w:rPr>
          <w:rFonts w:ascii="Consolas" w:hAnsi="Consolas"/>
          <w:color w:val="9C274E"/>
          <w:sz w:val="20"/>
        </w:rPr>
        <w:t>P0-2</w:t>
      </w:r>
    </w:p>
    <w:p>
      <w:pPr>
        <w:pStyle w:val="ListNumber"/>
        <w:spacing w:after="60"/>
      </w:pPr>
      <w:r>
        <w:t xml:space="preserve">A four-attendee meeting is stored as one </w:t>
      </w:r>
      <w:r>
        <w:rPr>
          <w:rFonts w:ascii="Consolas" w:hAnsi="Consolas"/>
          <w:color w:val="9C274E"/>
          <w:sz w:val="20"/>
        </w:rPr>
        <w:t>Activity</w:t>
      </w:r>
      <w:r>
        <w:t xml:space="preserve"> with four participants and their roles. </w:t>
      </w:r>
      <w:r>
        <w:rPr>
          <w:rFonts w:ascii="Consolas" w:hAnsi="Consolas"/>
          <w:color w:val="9C274E"/>
          <w:sz w:val="20"/>
        </w:rPr>
        <w:t>P0-8</w:t>
      </w:r>
    </w:p>
    <w:p>
      <w:pPr>
        <w:pStyle w:val="ListNumber"/>
        <w:spacing w:after="60"/>
      </w:pPr>
      <w:r>
        <w:t xml:space="preserve">A deal carries a buying committee with roles and influence, and records who referred it. </w:t>
      </w:r>
      <w:r>
        <w:rPr>
          <w:rFonts w:ascii="Consolas" w:hAnsi="Consolas"/>
          <w:color w:val="9C274E"/>
          <w:sz w:val="20"/>
        </w:rPr>
        <w:t>P1-18</w:t>
      </w:r>
    </w:p>
    <w:p>
      <w:pPr>
        <w:pStyle w:val="ListNumber"/>
        <w:spacing w:after="60"/>
      </w:pPr>
      <w:r>
        <w:t xml:space="preserve">At least one </w:t>
      </w:r>
      <w:r>
        <w:rPr>
          <w:rFonts w:ascii="Consolas" w:hAnsi="Consolas"/>
          <w:color w:val="9C274E"/>
          <w:sz w:val="20"/>
        </w:rPr>
        <w:t>PartyRelationship</w:t>
      </w:r>
      <w:r>
        <w:t xml:space="preserve"> row exists with </w:t>
      </w:r>
      <w:r>
        <w:rPr>
          <w:rFonts w:ascii="Consolas" w:hAnsi="Consolas"/>
          <w:color w:val="9C274E"/>
          <w:sz w:val="20"/>
        </w:rPr>
        <w:t>origin = observed</w:t>
      </w:r>
      <w:r>
        <w:t xml:space="preserve"> that no human typed, having passed through the </w:t>
      </w:r>
      <w:r>
        <w:rPr>
          <w:rFonts w:ascii="Consolas" w:hAnsi="Consolas"/>
          <w:color w:val="9C274E"/>
          <w:sz w:val="20"/>
        </w:rPr>
        <w:t>AgentEscalation</w:t>
      </w:r>
      <w:r>
        <w:t xml:space="preserve"> confirm queue. </w:t>
      </w:r>
      <w:r>
        <w:rPr>
          <w:rFonts w:ascii="Consolas" w:hAnsi="Consolas"/>
          <w:color w:val="9C274E"/>
          <w:sz w:val="20"/>
        </w:rPr>
        <w:t>P1-14</w:t>
      </w:r>
    </w:p>
    <w:p>
      <w:pPr>
        <w:pStyle w:val="ListNumber"/>
        <w:spacing w:after="60"/>
      </w:pPr>
      <w:r>
        <w:rPr>
          <w:rFonts w:ascii="Consolas" w:hAnsi="Consolas"/>
          <w:color w:val="9C274E"/>
          <w:sz w:val="20"/>
        </w:rPr>
        <w:t>Relationship.path</w:t>
      </w:r>
      <w:r>
        <w:t xml:space="preserve"> returns a warm-intro route on seeded data, and </w:t>
      </w:r>
      <w:r>
        <w:rPr>
          <w:rFonts w:ascii="Consolas" w:hAnsi="Consolas"/>
          <w:color w:val="9C274E"/>
          <w:sz w:val="20"/>
        </w:rPr>
        <w:t>job_ledger.replay</w:t>
      </w:r>
      <w:r>
        <w:t xml:space="preserve"> shows the interactions behind every edge on that path. </w:t>
      </w:r>
      <w:r>
        <w:rPr>
          <w:rFonts w:ascii="Consolas" w:hAnsi="Consolas"/>
          <w:color w:val="9C274E"/>
          <w:sz w:val="20"/>
        </w:rPr>
        <w:t>P1-15</w:t>
      </w:r>
    </w:p>
    <w:p>
      <w:pPr>
        <w:pStyle w:val="ListNumber"/>
        <w:spacing w:after="60"/>
      </w:pPr>
      <w:r>
        <w:t xml:space="preserve">An agent can work without receiving all 247 schemas upfront. </w:t>
      </w:r>
      <w:r>
        <w:rPr>
          <w:rFonts w:ascii="Consolas" w:hAnsi="Consolas"/>
          <w:color w:val="9C274E"/>
          <w:sz w:val="20"/>
        </w:rPr>
        <w:t>P0-3</w:t>
      </w:r>
    </w:p>
    <w:p>
      <w:r>
        <w:t>Criteria 7 and 8 are the demo. The rest are the foundation that makes the demo credible rather than a prototype.</w:t>
      </w:r>
    </w:p>
    <w:p>
      <w:pPr>
        <w:pStyle w:val="Heading3"/>
      </w:pPr>
      <w:r>
        <w:t>7.7 The one real risk</w:t>
      </w:r>
    </w:p>
    <w:p>
      <w:r>
        <w:t xml:space="preserve">Track B is the critical path and it is serial: </w:t>
      </w:r>
      <w:r>
        <w:rPr>
          <w:rFonts w:ascii="Consolas" w:hAnsi="Consolas"/>
          <w:color w:val="9C274E"/>
          <w:sz w:val="20"/>
        </w:rPr>
        <w:t>P0-8</w:t>
      </w:r>
      <w:r>
        <w:t xml:space="preserve"> in week 1 blocks the rollup in week 2, which blocks traversal in week 3. A slip on the </w:t>
      </w:r>
      <w:r>
        <w:rPr>
          <w:rFonts w:ascii="Consolas" w:hAnsi="Consolas"/>
          <w:color w:val="9C274E"/>
          <w:sz w:val="20"/>
        </w:rPr>
        <w:t>ActivityParticipant</w:t>
      </w:r>
      <w:r>
        <w:t xml:space="preserve"> migration costs the differentiator demo outright. It is therefore the first thing started and should be the first thing reviewed, on day 3 at the latest.</w:t>
      </w:r>
    </w:p>
    <w:p>
      <w:r>
        <w:t xml:space="preserve">The genuine unknown is the </w:t>
      </w:r>
      <w:r>
        <w:rPr>
          <w:b/>
        </w:rPr>
        <w:t>rollup threshold</w:t>
      </w:r>
      <w:r>
        <w:t xml:space="preserve"> in </w:t>
      </w:r>
      <w:r>
        <w:rPr>
          <w:rFonts w:ascii="Consolas" w:hAnsi="Consolas"/>
          <w:color w:val="9C274E"/>
          <w:sz w:val="20"/>
        </w:rPr>
        <w:t>P1-14</w:t>
      </w:r>
      <w:r>
        <w:t>. On sparse data, co-occurrence scoring tends to propose either nothing or everything, and there is no tuning set to calibrate against. Three things contain that:</w:t>
      </w:r>
    </w:p>
    <w:p>
      <w:pPr>
        <w:pStyle w:val="ListBullet"/>
        <w:spacing w:after="60"/>
      </w:pPr>
      <w:r>
        <w:t>The human confirm step means a bad threshold produces a noisy queue, not a polluted graph. Precision failures stay visible and reversible.</w:t>
      </w:r>
    </w:p>
    <w:p>
      <w:pPr>
        <w:pStyle w:val="ListBullet"/>
        <w:spacing w:after="60"/>
      </w:pPr>
      <w:r>
        <w:t xml:space="preserve">Seed realistic interaction data in </w:t>
      </w:r>
      <w:r>
        <w:rPr>
          <w:b/>
        </w:rPr>
        <w:t>week 1</w:t>
      </w:r>
      <w:r>
        <w:t>, not week 3, so the threshold has something to tune against before traversal is built on top of it.</w:t>
      </w:r>
    </w:p>
    <w:p>
      <w:pPr>
        <w:pStyle w:val="ListBullet"/>
        <w:spacing w:after="60"/>
      </w:pPr>
      <w:r>
        <w:t>The fallback is to set the threshold at a single co-attendance and let the confirm queue do the filtering. Less impressive as automation, equally demonstrable as a graph, and still more than anyone in the comparison set ships.</w:t>
      </w:r>
    </w:p>
    <w:p>
      <w:pPr>
        <w:spacing w:before="80" w:after="200"/>
        <w:pBdr>
          <w:bottom w:val="single" w:sz="8" w:space="8" w:color="C9D1DC"/>
        </w:pBdr>
      </w:pPr>
      <w:r>
        <w:br w:type="page"/>
      </w:r>
    </w:p>
    <w:p>
      <w:pPr>
        <w:pStyle w:val="Heading2"/>
      </w:pPr>
      <w:r>
        <w:t>8. Appendix</w:t>
      </w:r>
    </w:p>
    <w:p>
      <w:pPr>
        <w:pStyle w:val="Heading3"/>
      </w:pPr>
      <w:r>
        <w:t>8.1 Method</w:t>
      </w:r>
    </w:p>
    <w:p>
      <w:r>
        <w:t xml:space="preserve">The catalog inventory was computed directly from the </w:t>
      </w:r>
      <w:r>
        <w:rPr>
          <w:rFonts w:ascii="Consolas" w:hAnsi="Consolas"/>
          <w:color w:val="9C274E"/>
          <w:sz w:val="20"/>
        </w:rPr>
        <w:t>tools/list</w:t>
      </w:r>
      <w:r>
        <w:t xml:space="preserve"> response: tools were bucketed by name shape (</w:t>
      </w:r>
      <w:r>
        <w:rPr>
          <w:rFonts w:ascii="Consolas" w:hAnsi="Consolas"/>
          <w:color w:val="9C274E"/>
          <w:sz w:val="20"/>
        </w:rPr>
        <w:t>{Entity}.{op}</w:t>
      </w:r>
      <w:r>
        <w:t xml:space="preserve">, </w:t>
      </w:r>
      <w:r>
        <w:rPr>
          <w:rFonts w:ascii="Consolas" w:hAnsi="Consolas"/>
          <w:color w:val="9C274E"/>
          <w:sz w:val="20"/>
        </w:rPr>
        <w:t>endpoint.*</w:t>
      </w:r>
      <w:r>
        <w:t xml:space="preserve">, and </w:t>
      </w:r>
      <w:r>
        <w:rPr>
          <w:rFonts w:ascii="Consolas" w:hAnsi="Consolas"/>
          <w:color w:val="9C274E"/>
          <w:sz w:val="20"/>
        </w:rPr>
        <w:t>permission: submit</w:t>
      </w:r>
      <w:r>
        <w:t xml:space="preserve"> for transitions), then grouped by entity to derive per-entity operation coverage. Behavioural claims — pagination limits, error shapes, response envelopes — come from live </w:t>
      </w:r>
      <w:r>
        <w:rPr>
          <w:rFonts w:ascii="Consolas" w:hAnsi="Consolas"/>
          <w:color w:val="9C274E"/>
          <w:sz w:val="20"/>
        </w:rPr>
        <w:t>tools/call</w:t>
      </w:r>
      <w:r>
        <w:t xml:space="preserve"> probes rather than schema reading.</w:t>
      </w:r>
    </w:p>
    <w:p>
      <w:r>
        <w:t xml:space="preserve">Competitor ratings come from vendor documentation and 2026 comparison coverage, </w:t>
      </w:r>
      <w:r>
        <w:rPr>
          <w:b/>
        </w:rPr>
        <w:t>not hands-on testing of each product</w:t>
      </w:r>
      <w:r>
        <w:t>. Treat borderline "partial" ratings as directional.</w:t>
      </w:r>
    </w:p>
    <w:p>
      <w:r>
        <w:t xml:space="preserve">Sprint sizing in </w:t>
      </w:r>
      <w:hyperlink r:id="rId12">
        <w:r>
          <w:rPr>
            <w:color w:val="2F5496"/>
            <w:u w:val="single"/>
          </w:rPr>
          <w:t>section 7</w:t>
        </w:r>
      </w:hyperlink>
      <w:r>
        <w:t xml:space="preserve"> converts the register's </w:t>
      </w:r>
      <w:r>
        <w:rPr>
          <w:rFonts w:ascii="Consolas" w:hAnsi="Consolas"/>
          <w:color w:val="9C274E"/>
          <w:sz w:val="20"/>
        </w:rPr>
        <w:t>S</w:t>
      </w:r>
      <w:r>
        <w:t>/</w:t>
      </w:r>
      <w:r>
        <w:rPr>
          <w:rFonts w:ascii="Consolas" w:hAnsi="Consolas"/>
          <w:color w:val="9C274E"/>
          <w:sz w:val="20"/>
        </w:rPr>
        <w:t>M</w:t>
      </w:r>
      <w:r>
        <w:t>/</w:t>
      </w:r>
      <w:r>
        <w:rPr>
          <w:rFonts w:ascii="Consolas" w:hAnsi="Consolas"/>
          <w:color w:val="9C274E"/>
          <w:sz w:val="20"/>
        </w:rPr>
        <w:t>L</w:t>
      </w:r>
      <w:r>
        <w:t xml:space="preserve"> bands into engineer-days at the </w:t>
      </w:r>
      <w:r>
        <w:rPr>
          <w:b/>
        </w:rPr>
        <w:t>low end of each band</w:t>
      </w:r>
      <w:r>
        <w:t xml:space="preserve">, on one explicit assumption: that a mechanism implemented once at the shared CRUD or MCP layer needs no per-entity follow-up work. If that assumption is wrong — if aggregation or bulk writes turn out to need per-entity handling — Track A expands past its 11 days and the plan loses Track C before it loses anything else. These are planning figures derived from schema inspection, not commitments from the engineers who would build it. The 22% buffer in </w:t>
      </w:r>
      <w:hyperlink r:id="rId20">
        <w:r>
          <w:rPr>
            <w:color w:val="2F5496"/>
            <w:u w:val="single"/>
          </w:rPr>
          <w:t>7.1</w:t>
        </w:r>
      </w:hyperlink>
      <w:r>
        <w:t xml:space="preserve"> exists because five of the thirteen items are v0 scopes whose boundaries will move on contact with the code.</w:t>
      </w:r>
    </w:p>
    <w:p>
      <w:pPr>
        <w:pStyle w:val="Heading3"/>
      </w:pPr>
      <w:r>
        <w:t>8.2 Sources</w:t>
      </w:r>
    </w:p>
    <w:p>
      <w:r>
        <w:rPr>
          <w:b/>
        </w:rPr>
        <w:t>Catalog and probes</w:t>
      </w:r>
    </w:p>
    <w:p>
      <w:r>
        <w:rPr>
          <w:rFonts w:ascii="Consolas" w:hAnsi="Consolas"/>
          <w:color w:val="9C274E"/>
          <w:sz w:val="20"/>
        </w:rPr>
        <w:t>initialize</w:t>
      </w:r>
      <w:r>
        <w:t xml:space="preserve">, </w:t>
      </w:r>
      <w:r>
        <w:rPr>
          <w:rFonts w:ascii="Consolas" w:hAnsi="Consolas"/>
          <w:color w:val="9C274E"/>
          <w:sz w:val="20"/>
        </w:rPr>
        <w:t>tools/list</w:t>
      </w:r>
      <w:r>
        <w:t xml:space="preserve">, </w:t>
      </w:r>
      <w:r>
        <w:rPr>
          <w:rFonts w:ascii="Consolas" w:hAnsi="Consolas"/>
          <w:color w:val="9C274E"/>
          <w:sz w:val="20"/>
        </w:rPr>
        <w:t>SalesOrder.list</w:t>
      </w:r>
      <w:r>
        <w:t xml:space="preserve">, </w:t>
      </w:r>
      <w:r>
        <w:rPr>
          <w:rFonts w:ascii="Consolas" w:hAnsi="Consolas"/>
          <w:color w:val="9C274E"/>
          <w:sz w:val="20"/>
        </w:rPr>
        <w:t>SalesOrder.get</w:t>
      </w:r>
      <w:r>
        <w:t xml:space="preserve"> against </w:t>
      </w:r>
      <w:r>
        <w:rPr>
          <w:rFonts w:ascii="Consolas" w:hAnsi="Consolas"/>
          <w:color w:val="9C274E"/>
          <w:sz w:val="20"/>
        </w:rPr>
        <w:t>https://agentswitch.theschoolofai.in</w:t>
      </w:r>
      <w:r>
        <w:t>, 2026-09-17.</w:t>
      </w:r>
    </w:p>
    <w:p>
      <w:r>
        <w:rPr>
          <w:b/>
        </w:rPr>
        <w:t>MCP protocol</w:t>
      </w:r>
    </w:p>
    <w:p>
      <w:pPr>
        <w:pStyle w:val="ListBullet"/>
        <w:spacing w:after="60"/>
      </w:pPr>
      <w:hyperlink r:id="rId21">
        <w:r>
          <w:rPr>
            <w:color w:val="2F5496"/>
            <w:u w:val="single"/>
          </w:rPr>
          <w:t>MCP specification 2026-07-28 — server tools</w:t>
        </w:r>
      </w:hyperlink>
    </w:p>
    <w:p>
      <w:pPr>
        <w:pStyle w:val="ListBullet"/>
        <w:spacing w:after="60"/>
      </w:pPr>
      <w:hyperlink r:id="rId22">
        <w:r>
          <w:rPr>
            <w:color w:val="2F5496"/>
            <w:u w:val="single"/>
          </w:rPr>
          <w:t>MCP client best practices</w:t>
        </w:r>
      </w:hyperlink>
    </w:p>
    <w:p>
      <w:pPr>
        <w:pStyle w:val="ListBullet"/>
        <w:spacing w:after="60"/>
      </w:pPr>
      <w:hyperlink r:id="rId23">
        <w:r>
          <w:rPr>
            <w:color w:val="2F5496"/>
            <w:u w:val="single"/>
          </w:rPr>
          <w:t>SEP-2636: Progressive Tool Disclosure</w:t>
        </w:r>
      </w:hyperlink>
    </w:p>
    <w:p>
      <w:pPr>
        <w:pStyle w:val="ListBullet"/>
        <w:spacing w:after="60"/>
      </w:pPr>
      <w:hyperlink r:id="rId24">
        <w:r>
          <w:rPr>
            <w:color w:val="2F5496"/>
            <w:u w:val="single"/>
          </w:rPr>
          <w:t>AWS Prescriptive Guidance: MCP strategies</w:t>
        </w:r>
      </w:hyperlink>
    </w:p>
    <w:p>
      <w:pPr>
        <w:pStyle w:val="ListBullet"/>
        <w:spacing w:after="60"/>
      </w:pPr>
      <w:hyperlink r:id="rId25">
        <w:r>
          <w:rPr>
            <w:color w:val="2F5496"/>
            <w:u w:val="single"/>
          </w:rPr>
          <w:t>Observability tools agents want</w:t>
        </w:r>
      </w:hyperlink>
      <w:r>
        <w:t xml:space="preserve"> — on aggregate query design</w:t>
      </w:r>
    </w:p>
    <w:p>
      <w:r>
        <w:rPr>
          <w:b/>
        </w:rPr>
        <w:t>Enterprise agentic CRM</w:t>
      </w:r>
    </w:p>
    <w:p>
      <w:pPr>
        <w:pStyle w:val="ListBullet"/>
        <w:spacing w:after="60"/>
      </w:pPr>
      <w:hyperlink r:id="rId26">
        <w:r>
          <w:rPr>
            <w:color w:val="2F5496"/>
            <w:u w:val="single"/>
          </w:rPr>
          <w:t>Copilot Studio vs Agentforce 2026</w:t>
        </w:r>
      </w:hyperlink>
    </w:p>
    <w:p>
      <w:pPr>
        <w:pStyle w:val="ListBullet"/>
        <w:spacing w:after="60"/>
      </w:pPr>
      <w:hyperlink r:id="rId27">
        <w:r>
          <w:rPr>
            <w:color w:val="2F5496"/>
            <w:u w:val="single"/>
          </w:rPr>
          <w:t>Breeze vs Agentforce 2026</w:t>
        </w:r>
      </w:hyperlink>
    </w:p>
    <w:p>
      <w:pPr>
        <w:pStyle w:val="ListBullet"/>
        <w:spacing w:after="60"/>
      </w:pPr>
      <w:hyperlink r:id="rId28">
        <w:r>
          <w:rPr>
            <w:color w:val="2F5496"/>
            <w:u w:val="single"/>
          </w:rPr>
          <w:t>Best AI CRM agents 2026</w:t>
        </w:r>
      </w:hyperlink>
    </w:p>
    <w:p>
      <w:r>
        <w:rPr>
          <w:b/>
        </w:rPr>
        <w:t>AI-native MCP CRM</w:t>
      </w:r>
    </w:p>
    <w:p>
      <w:pPr>
        <w:pStyle w:val="ListBullet"/>
        <w:spacing w:after="60"/>
      </w:pPr>
      <w:hyperlink r:id="rId29">
        <w:r>
          <w:rPr>
            <w:color w:val="2F5496"/>
            <w:u w:val="single"/>
          </w:rPr>
          <w:t>Attio MCP overview</w:t>
        </w:r>
      </w:hyperlink>
      <w:r>
        <w:t xml:space="preserve"> · </w:t>
      </w:r>
      <w:hyperlink r:id="rId30">
        <w:r>
          <w:rPr>
            <w:color w:val="2F5496"/>
            <w:u w:val="single"/>
          </w:rPr>
          <w:t>Attio MCP operator review 2026</w:t>
        </w:r>
      </w:hyperlink>
    </w:p>
    <w:p>
      <w:pPr>
        <w:pStyle w:val="ListBullet"/>
        <w:spacing w:after="60"/>
      </w:pPr>
      <w:hyperlink r:id="rId31">
        <w:r>
          <w:rPr>
            <w:color w:val="2F5496"/>
            <w:u w:val="single"/>
          </w:rPr>
          <w:t>Day.ai product</w:t>
        </w:r>
      </w:hyperlink>
    </w:p>
    <w:p>
      <w:pPr>
        <w:pStyle w:val="ListBullet"/>
        <w:spacing w:after="60"/>
      </w:pPr>
      <w:hyperlink r:id="rId32">
        <w:r>
          <w:rPr>
            <w:color w:val="2F5496"/>
            <w:u w:val="single"/>
          </w:rPr>
          <w:t>AI-native CRM platforms compared 2026</w:t>
        </w:r>
      </w:hyperlink>
      <w:r>
        <w:t xml:space="preserve"> · </w:t>
      </w:r>
      <w:hyperlink r:id="rId33">
        <w:r>
          <w:rPr>
            <w:color w:val="2F5496"/>
            <w:u w:val="single"/>
          </w:rPr>
          <w:t>Attio vs folk vs Clay 2026</w:t>
        </w:r>
      </w:hyperlink>
    </w:p>
    <w:p>
      <w:r>
        <w:rPr>
          <w:b/>
        </w:rPr>
        <w:t>India SMB CRM and ERP</w:t>
      </w:r>
    </w:p>
    <w:p>
      <w:pPr>
        <w:pStyle w:val="ListBullet"/>
        <w:spacing w:after="60"/>
      </w:pPr>
      <w:hyperlink r:id="rId34">
        <w:r>
          <w:rPr>
            <w:color w:val="2F5496"/>
            <w:u w:val="single"/>
          </w:rPr>
          <w:t>Zoho CRM pricing</w:t>
        </w:r>
      </w:hyperlink>
    </w:p>
    <w:p>
      <w:pPr>
        <w:pStyle w:val="ListBullet"/>
        <w:spacing w:after="60"/>
      </w:pPr>
      <w:hyperlink r:id="rId35">
        <w:r>
          <w:rPr>
            <w:color w:val="2F5496"/>
            <w:u w:val="single"/>
          </w:rPr>
          <w:t>ERPNext vs Odoo for Indian small business</w:t>
        </w:r>
      </w:hyperlink>
    </w:p>
    <w:p>
      <w:pPr>
        <w:pStyle w:val="ListBullet"/>
        <w:spacing w:after="60"/>
      </w:pPr>
      <w:hyperlink r:id="rId36">
        <w:r>
          <w:rPr>
            <w:color w:val="2F5496"/>
            <w:u w:val="single"/>
          </w:rPr>
          <w:t>Best AI CRM software for Indian businesses 2026</w:t>
        </w:r>
      </w:hyperlink>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07C"/>
        <w:sz w:val="16"/>
      </w:rPr>
      <w:t xml:space="preserve">AgentSwitch Gap Report    |    </w:t>
    </w:r>
    <w:r>
      <w:rPr>
        <w:color w:val="69707C"/>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Light" w:hAnsi="Calibri Light"/>
      <w:b w:val="0"/>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Light" w:hAnsi="Calibri Light"/>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4546A"/>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44546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tools-list.json" TargetMode="External"/><Relationship Id="rId11" Type="http://schemas.openxmlformats.org/officeDocument/2006/relationships/hyperlink" Target="../sales-order-list.json" TargetMode="External"/><Relationship Id="rId12" Type="http://schemas.openxmlformats.org/officeDocument/2006/relationships/hyperlink" Target="#7-three-week-delivery-plan" TargetMode="External"/><Relationship Id="rId13" Type="http://schemas.openxmlformats.org/officeDocument/2006/relationships/hyperlink" Target="#5-spotlight-the-relationship-graph" TargetMode="External"/><Relationship Id="rId14" Type="http://schemas.openxmlformats.org/officeDocument/2006/relationships/hyperlink" Target="#62-the-one-to-build-relationship-intelligence-on-deals" TargetMode="External"/><Relationship Id="rId15" Type="http://schemas.openxmlformats.org/officeDocument/2006/relationships/hyperlink" Target="#61-shipped-today-and-unmarketed" TargetMode="External"/><Relationship Id="rId16" Type="http://schemas.openxmlformats.org/officeDocument/2006/relationships/hyperlink" Target="#74-what-is-deferred-and-why" TargetMode="External"/><Relationship Id="rId17" Type="http://schemas.openxmlformats.org/officeDocument/2006/relationships/hyperlink" Target="#73-week-by-week" TargetMode="External"/><Relationship Id="rId18" Type="http://schemas.openxmlformats.org/officeDocument/2006/relationships/hyperlink" Target="#75-if-the-team-is-two-not-three" TargetMode="External"/><Relationship Id="rId19" Type="http://schemas.openxmlformats.org/officeDocument/2006/relationships/hyperlink" Target="#4-gap-register" TargetMode="External"/><Relationship Id="rId20" Type="http://schemas.openxmlformats.org/officeDocument/2006/relationships/hyperlink" Target="#71-capacity-and-strategy" TargetMode="External"/><Relationship Id="rId21" Type="http://schemas.openxmlformats.org/officeDocument/2006/relationships/hyperlink" Target="https://modelcontextprotocol.io/specification/2026-07-28/server/tools" TargetMode="External"/><Relationship Id="rId22" Type="http://schemas.openxmlformats.org/officeDocument/2006/relationships/hyperlink" Target="https://modelcontextprotocol.io/docs/2026-07-28/develop/clients/client-best-practices" TargetMode="External"/><Relationship Id="rId23" Type="http://schemas.openxmlformats.org/officeDocument/2006/relationships/hyperlink" Target="https://github.com/modelcontextprotocol/modelcontextprotocol/pull/2636" TargetMode="External"/><Relationship Id="rId24" Type="http://schemas.openxmlformats.org/officeDocument/2006/relationships/hyperlink" Target="https://docs.aws.amazon.com/pdfs/prescriptive-guidance/latest/mcp-strategies/mcp-strategies.pdf" TargetMode="External"/><Relationship Id="rId25" Type="http://schemas.openxmlformats.org/officeDocument/2006/relationships/hyperlink" Target="https://pydantic.dev/articles/observability-tools-agents-want" TargetMode="External"/><Relationship Id="rId26" Type="http://schemas.openxmlformats.org/officeDocument/2006/relationships/hyperlink" Target="https://alatirok.com/copilot-studio-vs-agentforce/" TargetMode="External"/><Relationship Id="rId27" Type="http://schemas.openxmlformats.org/officeDocument/2006/relationships/hyperlink" Target="https://toolsradar.net/hubspot-breeze-ai-vs-salesforce-agentforce-2026/" TargetMode="External"/><Relationship Id="rId28" Type="http://schemas.openxmlformats.org/officeDocument/2006/relationships/hyperlink" Target="https://nomadlab.cc/blog/2026/06/best-ai-crm-agents-2026-agentforce-vs-breeze-vs-copilot-vs-zia" TargetMode="External"/><Relationship Id="rId29" Type="http://schemas.openxmlformats.org/officeDocument/2006/relationships/hyperlink" Target="https://docs.attio.com/mcp/overview" TargetMode="External"/><Relationship Id="rId30" Type="http://schemas.openxmlformats.org/officeDocument/2006/relationships/hyperlink" Target="https://stackswap.ai/attio-mcp-review" TargetMode="External"/><Relationship Id="rId31" Type="http://schemas.openxmlformats.org/officeDocument/2006/relationships/hyperlink" Target="https://day.ai/product" TargetMode="External"/><Relationship Id="rId32" Type="http://schemas.openxmlformats.org/officeDocument/2006/relationships/hyperlink" Target="https://www.soberan.co/news/top-ai-native-crm-platforms" TargetMode="External"/><Relationship Id="rId33" Type="http://schemas.openxmlformats.org/officeDocument/2006/relationships/hyperlink" Target="https://www.weekcrm.com/news/2026-04-24-attio-vs-folk-vs-clay" TargetMode="External"/><Relationship Id="rId34" Type="http://schemas.openxmlformats.org/officeDocument/2006/relationships/hyperlink" Target="https://www.zoho.com/en-us/crm/zohocrm-pricing.html" TargetMode="External"/><Relationship Id="rId35" Type="http://schemas.openxmlformats.org/officeDocument/2006/relationships/hyperlink" Target="https://mith.tech/blog/erpnext-vs-odoo-small-business-india" TargetMode="External"/><Relationship Id="rId36" Type="http://schemas.openxmlformats.org/officeDocument/2006/relationships/hyperlink" Target="https://www.comparebiztech.com/best-ai-crm-software-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