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1 deliverable — three questions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20"/>
            </w:pPr>
            <w:r>
              <w:rPr>
                <w:b/>
                <w:sz w:val="19"/>
              </w:rPr>
              <w:t>Seat</w:t>
            </w:r>
          </w:p>
        </w:tc>
        <w:tc>
          <w:tcPr>
            <w:tcW w:type="dxa" w:w="5100"/>
          </w:tcPr>
          <w:p>
            <w:pPr>
              <w:spacing w:after="20"/>
            </w:pPr>
            <w:r>
              <w:rPr>
                <w:rFonts w:ascii="Consolas" w:hAnsi="Consolas"/>
                <w:color w:val="9C274E"/>
                <w:sz w:val="18"/>
              </w:rPr>
              <w:t>team06@theschoolofai.in</w:t>
            </w:r>
            <w:r>
              <w:rPr>
                <w:sz w:val="19"/>
              </w:rPr>
              <w:t xml:space="preserve"> · roles </w:t>
            </w:r>
            <w:r>
              <w:rPr>
                <w:rFonts w:ascii="Consolas" w:hAnsi="Consolas"/>
                <w:color w:val="9C274E"/>
                <w:sz w:val="18"/>
              </w:rPr>
              <w:t>sales_user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C274E"/>
                <w:sz w:val="18"/>
              </w:rPr>
              <w:t>user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C274E"/>
                <w:sz w:val="18"/>
              </w:rPr>
              <w:t>agent_user</w:t>
            </w:r>
            <w:r>
              <w:rPr>
                <w:sz w:val="19"/>
              </w:rPr>
              <w:t xml:space="preserve"> · apps </w:t>
            </w:r>
            <w:r>
              <w:rPr>
                <w:rFonts w:ascii="Consolas" w:hAnsi="Consolas"/>
                <w:color w:val="9C274E"/>
                <w:sz w:val="18"/>
              </w:rPr>
              <w:t>crm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C274E"/>
                <w:sz w:val="18"/>
              </w:rPr>
              <w:t>agent</w:t>
            </w:r>
          </w:p>
        </w:tc>
      </w:tr>
      <w:tr>
        <w:tc>
          <w:tcPr>
            <w:tcW w:type="dxa" w:w="5100"/>
            <w:shd w:val="clear" w:color="auto" w:fill="F4F6F9"/>
          </w:tcPr>
          <w:p>
            <w:pPr>
              <w:spacing w:after="20"/>
            </w:pPr>
            <w:r>
              <w:rPr>
                <w:b/>
                <w:sz w:val="19"/>
              </w:rPr>
              <w:t>Evidence</w:t>
            </w:r>
          </w:p>
        </w:tc>
        <w:tc>
          <w:tcPr>
            <w:tcW w:type="dxa" w:w="5100"/>
            <w:shd w:val="clear" w:color="auto" w:fill="F4F6F9"/>
          </w:tcPr>
          <w:p>
            <w:pPr>
              <w:spacing w:after="20"/>
            </w:pPr>
            <w:r>
              <w:rPr>
                <w:rFonts w:ascii="Consolas" w:hAnsi="Consolas"/>
                <w:color w:val="9C274E"/>
                <w:sz w:val="18"/>
              </w:rPr>
              <w:t>tools/list</w:t>
            </w:r>
            <w:r>
              <w:rPr>
                <w:sz w:val="19"/>
              </w:rPr>
              <w:t xml:space="preserve"> → </w:t>
            </w:r>
            <w:r>
              <w:rPr>
                <w:b/>
                <w:sz w:val="19"/>
              </w:rPr>
              <w:t>247 tools / 51 entities</w:t>
            </w:r>
            <w:r>
              <w:rPr>
                <w:sz w:val="19"/>
              </w:rPr>
              <w:t xml:space="preserve"> · live </w:t>
            </w:r>
            <w:r>
              <w:rPr>
                <w:rFonts w:ascii="Consolas" w:hAnsi="Consolas"/>
                <w:color w:val="9C274E"/>
                <w:sz w:val="18"/>
              </w:rPr>
              <w:t>SalesOrder.list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9C274E"/>
                <w:sz w:val="18"/>
              </w:rPr>
              <w:t>total: 310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C274E"/>
                <w:sz w:val="18"/>
              </w:rPr>
              <w:t>limit: 20</w:t>
            </w:r>
            <w:r>
              <w:rPr>
                <w:sz w:val="19"/>
              </w:rPr>
              <w:t xml:space="preserve">) · rechecked against </w:t>
            </w:r>
            <w:hyperlink r:id="rId9">
              <w:r>
                <w:rPr>
                  <w:color w:val="2F5496"/>
                  <w:u w:val="single"/>
                </w:rPr>
                <w:t>tools-list.json</w:t>
              </w:r>
            </w:hyperlink>
            <w:r>
              <w:rPr>
                <w:sz w:val="19"/>
              </w:rPr>
              <w:t xml:space="preserve"> 2026-09-22</w:t>
            </w:r>
          </w:p>
        </w:tc>
      </w:tr>
      <w:tr>
        <w:tc>
          <w:tcPr>
            <w:tcW w:type="dxa" w:w="5100"/>
          </w:tcPr>
          <w:p>
            <w:pPr>
              <w:spacing w:after="20"/>
            </w:pPr>
            <w:r>
              <w:rPr>
                <w:b/>
                <w:sz w:val="19"/>
              </w:rPr>
              <w:t>Compared against</w:t>
            </w:r>
          </w:p>
        </w:tc>
        <w:tc>
          <w:tcPr>
            <w:tcW w:type="dxa" w:w="5100"/>
          </w:tcPr>
          <w:p>
            <w:pPr>
              <w:spacing w:after="20"/>
            </w:pPr>
            <w:r>
              <w:rPr>
                <w:sz w:val="19"/>
              </w:rPr>
              <w:t>Salesforce Agentforce · HubSpot Breeze · Attio · Zoho CRM · ERPNext</w:t>
            </w:r>
          </w:p>
        </w:tc>
      </w:tr>
      <w:tr>
        <w:tc>
          <w:tcPr>
            <w:tcW w:type="dxa" w:w="5100"/>
            <w:shd w:val="clear" w:color="auto" w:fill="F4F6F9"/>
          </w:tcPr>
          <w:p>
            <w:pPr>
              <w:spacing w:after="20"/>
            </w:pPr>
            <w:r>
              <w:rPr>
                <w:b/>
                <w:sz w:val="19"/>
              </w:rPr>
              <w:t>Full register</w:t>
            </w:r>
          </w:p>
        </w:tc>
        <w:tc>
          <w:tcPr>
            <w:tcW w:type="dxa" w:w="5100"/>
            <w:shd w:val="clear" w:color="auto" w:fill="F4F6F9"/>
          </w:tcPr>
          <w:p>
            <w:pPr>
              <w:spacing w:after="20"/>
            </w:pPr>
            <w:hyperlink r:id="rId10">
              <w:r>
                <w:rPr>
                  <w:color w:val="2F5496"/>
                  <w:u w:val="single"/>
                </w:rPr>
                <w:t>gap-analysis.md</w:t>
              </w:r>
            </w:hyperlink>
            <w:r>
              <w:rPr>
                <w:sz w:val="19"/>
              </w:rPr>
              <w:t xml:space="preserve"> · </w:t>
            </w:r>
            <w:hyperlink r:id="rId11">
              <w:r>
                <w:rPr>
                  <w:color w:val="2F5496"/>
                  <w:u w:val="single"/>
                </w:rPr>
                <w:t>AgentSwitch-Gap-Report.docx</w:t>
              </w:r>
            </w:hyperlink>
          </w:p>
        </w:tc>
      </w:tr>
    </w:tbl>
    <w:p>
      <w:pPr>
        <w:spacing w:after="80"/>
      </w:pPr>
    </w:p>
    <w:p>
      <w:r>
        <w:t>One page. Three questions. Specifics only. Tool names below are exact catalog strings.</w:t>
      </w:r>
    </w:p>
    <w:p>
      <w:pPr>
        <w:pStyle w:val="Heading2"/>
      </w:pPr>
      <w:r>
        <w:t>1. What do they do that we do not?</w:t>
      </w:r>
    </w:p>
    <w:p>
      <w:r>
        <w:t>Concrete absences in the CRM/agent surface this seat can see — not vibes.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Gap</w:t>
            </w:r>
          </w:p>
        </w:tc>
        <w:tc>
          <w:tcPr>
            <w:tcW w:type="dxa" w:w="3400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Evidence in our MCP surface</w:t>
            </w:r>
          </w:p>
        </w:tc>
        <w:tc>
          <w:tcPr>
            <w:tcW w:type="dxa" w:w="3400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Who ships it</w:t>
            </w:r>
          </w:p>
        </w:tc>
      </w:tr>
      <w:tr>
        <w:tc>
          <w:tcPr>
            <w:tcW w:type="dxa" w:w="3400"/>
          </w:tcPr>
          <w:p>
            <w:pPr>
              <w:spacing w:after="20"/>
            </w:pPr>
            <w:r>
              <w:rPr>
                <w:sz w:val="17"/>
              </w:rPr>
              <w:t>No aggregate / group-by reporting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sz w:val="17"/>
              </w:rPr>
              <w:t xml:space="preserve">No </w:t>
            </w:r>
            <w:r>
              <w:rPr>
                <w:rFonts w:ascii="Consolas" w:hAnsi="Consolas"/>
                <w:color w:val="9C274E"/>
                <w:sz w:val="18"/>
              </w:rPr>
              <w:t>*.aggregate</w:t>
            </w:r>
            <w:r>
              <w:rPr>
                <w:sz w:val="17"/>
              </w:rPr>
              <w:t xml:space="preserve"> tool in the 247. </w:t>
            </w:r>
            <w:r>
              <w:rPr>
                <w:rFonts w:ascii="Consolas" w:hAnsi="Consolas"/>
                <w:color w:val="9C274E"/>
                <w:sz w:val="18"/>
              </w:rPr>
              <w:t>SalesOrder.list</w:t>
            </w:r>
            <w:r>
              <w:rPr>
                <w:sz w:val="17"/>
              </w:rPr>
              <w:t xml:space="preserve"> returns 20 of 310; </w:t>
            </w:r>
            <w:r>
              <w:rPr>
                <w:i/>
                <w:sz w:val="17"/>
              </w:rPr>
              <w:t>"revenue this quarter by owner"</w:t>
            </w:r>
            <w:r>
              <w:rPr>
                <w:sz w:val="17"/>
              </w:rPr>
              <w:t xml:space="preserve"> is 16 round trips plus client-side sum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sz w:val="17"/>
              </w:rPr>
              <w:t>Zoho reports, Agentforce + Data Cloud, ERPNext</w:t>
            </w:r>
          </w:p>
        </w:tc>
      </w:tr>
      <w:tr>
        <w:tc>
          <w:tcPr>
            <w:tcW w:type="dxa" w:w="3400"/>
            <w:shd w:val="clear" w:color="auto" w:fill="F4F6F9"/>
          </w:tcPr>
          <w:p>
            <w:pPr>
              <w:spacing w:after="20"/>
            </w:pPr>
            <w:r>
              <w:rPr>
                <w:sz w:val="17"/>
              </w:rPr>
              <w:t>No CRM invoice, payment, or credit note</w:t>
            </w:r>
          </w:p>
        </w:tc>
        <w:tc>
          <w:tcPr>
            <w:tcW w:type="dxa" w:w="3400"/>
            <w:shd w:val="clear" w:color="auto" w:fill="F4F6F9"/>
          </w:tcPr>
          <w:p>
            <w:pPr>
              <w:spacing w:after="20"/>
            </w:pPr>
            <w:r>
              <w:rPr>
                <w:sz w:val="17"/>
              </w:rPr>
              <w:t>Quote → order exists (</w:t>
            </w:r>
            <w:r>
              <w:rPr>
                <w:rFonts w:ascii="Consolas" w:hAnsi="Consolas"/>
                <w:color w:val="9C274E"/>
                <w:sz w:val="18"/>
              </w:rPr>
              <w:t>Quotation.make.SalesOrder</w:t>
            </w:r>
            <w:r>
              <w:rPr>
                <w:sz w:val="17"/>
              </w:rPr>
              <w:t xml:space="preserve">, also </w:t>
            </w:r>
            <w:r>
              <w:rPr>
                <w:rFonts w:ascii="Consolas" w:hAnsi="Consolas"/>
                <w:color w:val="9C274E"/>
                <w:sz w:val="18"/>
              </w:rPr>
              <w:t>Quotation.convert_to_order.*</w:t>
            </w:r>
            <w:r>
              <w:rPr>
                <w:sz w:val="17"/>
              </w:rPr>
              <w:t xml:space="preserve">). Live orders sit at </w:t>
            </w:r>
            <w:r>
              <w:rPr>
                <w:rFonts w:ascii="Consolas" w:hAnsi="Consolas"/>
                <w:color w:val="9C274E"/>
                <w:sz w:val="18"/>
              </w:rPr>
              <w:t>invoiced_status: "unbilled"</w:t>
            </w:r>
            <w:r>
              <w:rPr>
                <w:sz w:val="17"/>
              </w:rPr>
              <w:t xml:space="preserve">. No </w:t>
            </w:r>
            <w:r>
              <w:rPr>
                <w:rFonts w:ascii="Consolas" w:hAnsi="Consolas"/>
                <w:color w:val="9C274E"/>
                <w:sz w:val="18"/>
              </w:rPr>
              <w:t>Invoice.*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9C274E"/>
                <w:sz w:val="18"/>
              </w:rPr>
              <w:t>CreditNote.*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9C274E"/>
                <w:sz w:val="18"/>
              </w:rPr>
              <w:t>SalesOrder.make.Invoice</w:t>
            </w:r>
            <w:r>
              <w:rPr>
                <w:sz w:val="17"/>
              </w:rPr>
              <w:t xml:space="preserve">. (Storefront has </w:t>
            </w:r>
            <w:r>
              <w:rPr>
                <w:rFonts w:ascii="Consolas" w:hAnsi="Consolas"/>
                <w:color w:val="9C274E"/>
                <w:sz w:val="18"/>
              </w:rPr>
              <w:t>endpoint.storefront.payment.verify</w:t>
            </w:r>
            <w:r>
              <w:rPr>
                <w:sz w:val="17"/>
              </w:rPr>
              <w:t xml:space="preserve"> — commerce checkout, not AR billing.)</w:t>
            </w:r>
          </w:p>
        </w:tc>
        <w:tc>
          <w:tcPr>
            <w:tcW w:type="dxa" w:w="3400"/>
            <w:shd w:val="clear" w:color="auto" w:fill="F4F6F9"/>
          </w:tcPr>
          <w:p>
            <w:pPr>
              <w:spacing w:after="20"/>
            </w:pPr>
            <w:r>
              <w:rPr>
                <w:sz w:val="17"/>
              </w:rPr>
              <w:t>Zoho, Odoo, ERPNext</w:t>
            </w:r>
          </w:p>
        </w:tc>
      </w:tr>
      <w:tr>
        <w:tc>
          <w:tcPr>
            <w:tcW w:type="dxa" w:w="3400"/>
          </w:tcPr>
          <w:p>
            <w:pPr>
              <w:spacing w:after="20"/>
            </w:pPr>
            <w:r>
              <w:rPr>
                <w:sz w:val="17"/>
              </w:rPr>
              <w:t>GST fields with no filing path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sz w:val="17"/>
              </w:rPr>
              <w:t xml:space="preserve">Order carries </w:t>
            </w:r>
            <w:r>
              <w:rPr>
                <w:rFonts w:ascii="Consolas" w:hAnsi="Consolas"/>
                <w:color w:val="9C274E"/>
                <w:sz w:val="18"/>
              </w:rPr>
              <w:t>gst_treatment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9C274E"/>
                <w:sz w:val="18"/>
              </w:rPr>
              <w:t>place_of_supply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9C274E"/>
                <w:sz w:val="18"/>
              </w:rPr>
              <w:t>gst_no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9C274E"/>
                <w:sz w:val="18"/>
              </w:rPr>
              <w:t>tds_*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9C274E"/>
                <w:sz w:val="18"/>
              </w:rPr>
              <w:t>tcs_*</w:t>
            </w:r>
            <w:r>
              <w:rPr>
                <w:sz w:val="17"/>
              </w:rPr>
              <w:t xml:space="preserve">; line items carry </w:t>
            </w:r>
            <w:r>
              <w:rPr>
                <w:rFonts w:ascii="Consolas" w:hAnsi="Consolas"/>
                <w:color w:val="9C274E"/>
                <w:sz w:val="18"/>
              </w:rPr>
              <w:t>hsn_or_sac</w:t>
            </w:r>
            <w:r>
              <w:rPr>
                <w:sz w:val="17"/>
              </w:rPr>
              <w:t>. No IRN, QR, or GSTR export tool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sz w:val="17"/>
              </w:rPr>
              <w:t>ERPNext native e-invoice</w:t>
            </w:r>
          </w:p>
        </w:tc>
      </w:tr>
      <w:tr>
        <w:tc>
          <w:tcPr>
            <w:tcW w:type="dxa" w:w="3400"/>
            <w:shd w:val="clear" w:color="auto" w:fill="F4F6F9"/>
          </w:tcPr>
          <w:p>
            <w:pPr>
              <w:spacing w:after="20"/>
            </w:pPr>
            <w:r>
              <w:rPr>
                <w:sz w:val="17"/>
              </w:rPr>
              <w:t>Agents can be run, not authored</w:t>
            </w:r>
          </w:p>
        </w:tc>
        <w:tc>
          <w:tcPr>
            <w:tcW w:type="dxa" w:w="3400"/>
            <w:shd w:val="clear" w:color="auto" w:fill="F4F6F9"/>
          </w:tcPr>
          <w:p>
            <w:pPr>
              <w:spacing w:after="20"/>
            </w:pPr>
            <w:r>
              <w:rPr>
                <w:rFonts w:ascii="Consolas" w:hAnsi="Consolas"/>
                <w:color w:val="9C274E"/>
                <w:sz w:val="18"/>
              </w:rPr>
              <w:t>AgentSkill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9C274E"/>
                <w:sz w:val="18"/>
              </w:rPr>
              <w:t>AgentPersona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9C274E"/>
                <w:sz w:val="18"/>
              </w:rPr>
              <w:t>AgentRunbook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9C274E"/>
                <w:sz w:val="18"/>
              </w:rPr>
              <w:t>AgentToolPolicy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9C274E"/>
                <w:sz w:val="18"/>
              </w:rPr>
              <w:t>AgentProvider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9C274E"/>
                <w:sz w:val="18"/>
              </w:rPr>
              <w:t>AgentFloorConfig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9C274E"/>
                <w:sz w:val="18"/>
              </w:rPr>
              <w:t>AgentJob</w:t>
            </w:r>
            <w:r>
              <w:rPr>
                <w:sz w:val="17"/>
              </w:rPr>
              <w:t xml:space="preserve"> are </w:t>
            </w:r>
            <w:r>
              <w:rPr>
                <w:rFonts w:ascii="Consolas" w:hAnsi="Consolas"/>
                <w:color w:val="9C274E"/>
                <w:sz w:val="18"/>
              </w:rPr>
              <w:t>list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9C274E"/>
                <w:sz w:val="18"/>
              </w:rPr>
              <w:t>get</w:t>
            </w:r>
            <w:r>
              <w:rPr>
                <w:sz w:val="17"/>
              </w:rPr>
              <w:t xml:space="preserve"> only (</w:t>
            </w:r>
            <w:r>
              <w:rPr>
                <w:rFonts w:ascii="Consolas" w:hAnsi="Consolas"/>
                <w:color w:val="9C274E"/>
                <w:sz w:val="18"/>
              </w:rPr>
              <w:t>AgentRunbookRun</w:t>
            </w:r>
            <w:r>
              <w:rPr>
                <w:sz w:val="17"/>
              </w:rPr>
              <w:t xml:space="preserve"> likewise). </w:t>
            </w:r>
            <w:r>
              <w:rPr>
                <w:rFonts w:ascii="Consolas" w:hAnsi="Consolas"/>
                <w:color w:val="9C274E"/>
                <w:sz w:val="18"/>
              </w:rPr>
              <w:t>AgentPersona.daily_limits</w:t>
            </w:r>
            <w:r>
              <w:rPr>
                <w:sz w:val="17"/>
              </w:rPr>
              <w:t xml:space="preserve"> is a separate read-only route</w:t>
            </w:r>
          </w:p>
        </w:tc>
        <w:tc>
          <w:tcPr>
            <w:tcW w:type="dxa" w:w="3400"/>
            <w:shd w:val="clear" w:color="auto" w:fill="F4F6F9"/>
          </w:tcPr>
          <w:p>
            <w:pPr>
              <w:spacing w:after="20"/>
            </w:pPr>
            <w:r>
              <w:rPr>
                <w:sz w:val="17"/>
              </w:rPr>
              <w:t>Agentforce Builder, Breeze Studio</w:t>
            </w:r>
          </w:p>
        </w:tc>
      </w:tr>
      <w:tr>
        <w:tc>
          <w:tcPr>
            <w:tcW w:type="dxa" w:w="3400"/>
          </w:tcPr>
          <w:p>
            <w:pPr>
              <w:spacing w:after="20"/>
            </w:pPr>
            <w:r>
              <w:rPr>
                <w:sz w:val="17"/>
              </w:rPr>
              <w:t>No knowledge grounding / RAG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Consolas" w:hAnsi="Consolas"/>
                <w:color w:val="9C274E"/>
                <w:sz w:val="18"/>
              </w:rPr>
              <w:t>FileAttachment</w:t>
            </w:r>
            <w:r>
              <w:rPr>
                <w:sz w:val="17"/>
              </w:rPr>
              <w:t xml:space="preserve"> is create/list/get/update of blobs; no </w:t>
            </w:r>
            <w:r>
              <w:rPr>
                <w:rFonts w:ascii="Consolas" w:hAnsi="Consolas"/>
                <w:color w:val="9C274E"/>
                <w:sz w:val="18"/>
              </w:rPr>
              <w:t>Knowledge.ingest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9C274E"/>
                <w:sz w:val="18"/>
              </w:rPr>
              <w:t>Knowledge.search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sz w:val="17"/>
              </w:rPr>
              <w:t>Agentforce Intelligent Context, Copilot Studio</w:t>
            </w:r>
          </w:p>
        </w:tc>
      </w:tr>
      <w:tr>
        <w:tc>
          <w:tcPr>
            <w:tcW w:type="dxa" w:w="3400"/>
            <w:shd w:val="clear" w:color="auto" w:fill="F4F6F9"/>
          </w:tcPr>
          <w:p>
            <w:pPr>
              <w:spacing w:after="20"/>
            </w:pPr>
            <w:r>
              <w:rPr>
                <w:sz w:val="17"/>
              </w:rPr>
              <w:t>No service desk or SLA clock</w:t>
            </w:r>
          </w:p>
        </w:tc>
        <w:tc>
          <w:tcPr>
            <w:tcW w:type="dxa" w:w="3400"/>
            <w:shd w:val="clear" w:color="auto" w:fill="F4F6F9"/>
          </w:tcPr>
          <w:p>
            <w:pPr>
              <w:spacing w:after="20"/>
            </w:pPr>
            <w:r>
              <w:rPr>
                <w:rFonts w:ascii="Consolas" w:hAnsi="Consolas"/>
                <w:color w:val="9C274E"/>
                <w:sz w:val="18"/>
              </w:rPr>
              <w:t>BugReport</w:t>
            </w:r>
            <w:r>
              <w:rPr>
                <w:sz w:val="17"/>
              </w:rPr>
              <w:t xml:space="preserve">: </w:t>
            </w:r>
            <w:r>
              <w:rPr>
                <w:rFonts w:ascii="Consolas" w:hAnsi="Consolas"/>
                <w:color w:val="9C274E"/>
                <w:sz w:val="18"/>
              </w:rPr>
              <w:t>create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9C274E"/>
                <w:sz w:val="18"/>
              </w:rPr>
              <w:t>list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9C274E"/>
                <w:sz w:val="18"/>
              </w:rPr>
              <w:t>get</w:t>
            </w:r>
            <w:r>
              <w:rPr>
                <w:sz w:val="17"/>
              </w:rPr>
              <w:t xml:space="preserve"> only — no </w:t>
            </w:r>
            <w:r>
              <w:rPr>
                <w:rFonts w:ascii="Consolas" w:hAnsi="Consolas"/>
                <w:color w:val="9C274E"/>
                <w:sz w:val="18"/>
              </w:rPr>
              <w:t>update</w:t>
            </w:r>
            <w:r>
              <w:rPr>
                <w:sz w:val="17"/>
              </w:rPr>
              <w:t xml:space="preserve">, no queue, no SLA, no CSAT. No </w:t>
            </w:r>
            <w:r>
              <w:rPr>
                <w:rFonts w:ascii="Consolas" w:hAnsi="Consolas"/>
                <w:color w:val="9C274E"/>
                <w:sz w:val="18"/>
              </w:rPr>
              <w:t>Ticket.*</w:t>
            </w:r>
          </w:p>
        </w:tc>
        <w:tc>
          <w:tcPr>
            <w:tcW w:type="dxa" w:w="3400"/>
            <w:shd w:val="clear" w:color="auto" w:fill="F4F6F9"/>
          </w:tcPr>
          <w:p>
            <w:pPr>
              <w:spacing w:after="20"/>
            </w:pPr>
            <w:r>
              <w:rPr>
                <w:sz w:val="17"/>
              </w:rPr>
              <w:t>HubSpot Service Hub, Zoho Desk</w:t>
            </w:r>
          </w:p>
        </w:tc>
      </w:tr>
      <w:tr>
        <w:tc>
          <w:tcPr>
            <w:tcW w:type="dxa" w:w="3400"/>
          </w:tcPr>
          <w:p>
            <w:pPr>
              <w:spacing w:after="20"/>
            </w:pPr>
            <w:r>
              <w:rPr>
                <w:sz w:val="17"/>
              </w:rPr>
              <w:t>No outbound email, sequences, or templates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sz w:val="17"/>
              </w:rPr>
              <w:t xml:space="preserve">Sole email tool: </w:t>
            </w:r>
            <w:r>
              <w:rPr>
                <w:rFonts w:ascii="Consolas" w:hAnsi="Consolas"/>
                <w:color w:val="9C274E"/>
                <w:sz w:val="18"/>
              </w:rPr>
              <w:t>endpoint.email.public.subscriber_lists</w:t>
            </w:r>
            <w:r>
              <w:rPr>
                <w:sz w:val="17"/>
              </w:rPr>
              <w:t xml:space="preserve"> (read). No </w:t>
            </w:r>
            <w:r>
              <w:rPr>
                <w:rFonts w:ascii="Consolas" w:hAnsi="Consolas"/>
                <w:color w:val="9C274E"/>
                <w:sz w:val="18"/>
              </w:rPr>
              <w:t>Email.send</w:t>
            </w:r>
            <w:r>
              <w:rPr>
                <w:sz w:val="17"/>
              </w:rPr>
              <w:t xml:space="preserve">, no </w:t>
            </w:r>
            <w:r>
              <w:rPr>
                <w:rFonts w:ascii="Consolas" w:hAnsi="Consolas"/>
                <w:color w:val="9C274E"/>
                <w:sz w:val="18"/>
              </w:rPr>
              <w:t>Sequence.*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sz w:val="17"/>
              </w:rPr>
              <w:t>Attio Pro, HubSpot, Zoho</w:t>
            </w:r>
          </w:p>
        </w:tc>
      </w:tr>
      <w:tr>
        <w:tc>
          <w:tcPr>
            <w:tcW w:type="dxa" w:w="3400"/>
            <w:shd w:val="clear" w:color="auto" w:fill="F4F6F9"/>
          </w:tcPr>
          <w:p>
            <w:pPr>
              <w:spacing w:after="20"/>
            </w:pPr>
            <w:r>
              <w:rPr>
                <w:sz w:val="17"/>
              </w:rPr>
              <w:t>No forecast, quota, or territory rollup</w:t>
            </w:r>
          </w:p>
        </w:tc>
        <w:tc>
          <w:tcPr>
            <w:tcW w:type="dxa" w:w="3400"/>
            <w:shd w:val="clear" w:color="auto" w:fill="F4F6F9"/>
          </w:tcPr>
          <w:p>
            <w:pPr>
              <w:spacing w:after="20"/>
            </w:pPr>
            <w:r>
              <w:rPr>
                <w:rFonts w:ascii="Consolas" w:hAnsi="Consolas"/>
                <w:color w:val="9C274E"/>
                <w:sz w:val="18"/>
              </w:rPr>
              <w:t>Goal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9C274E"/>
                <w:sz w:val="18"/>
              </w:rPr>
              <w:t>Pipeline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9C274E"/>
                <w:sz w:val="18"/>
              </w:rPr>
              <w:t>AccountPlan</w:t>
            </w:r>
            <w:r>
              <w:rPr>
                <w:sz w:val="17"/>
              </w:rPr>
              <w:t xml:space="preserve"> are </w:t>
            </w:r>
            <w:r>
              <w:rPr>
                <w:rFonts w:ascii="Consolas" w:hAnsi="Consolas"/>
                <w:color w:val="9C274E"/>
                <w:sz w:val="18"/>
              </w:rPr>
              <w:t>list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9C274E"/>
                <w:sz w:val="18"/>
              </w:rPr>
              <w:t>get</w:t>
            </w:r>
            <w:r>
              <w:rPr>
                <w:sz w:val="17"/>
              </w:rPr>
              <w:t xml:space="preserve"> only. </w:t>
            </w:r>
            <w:r>
              <w:rPr>
                <w:rFonts w:ascii="Consolas" w:hAnsi="Consolas"/>
                <w:color w:val="9C274E"/>
                <w:sz w:val="18"/>
              </w:rPr>
              <w:t>Deal.create.probability</w:t>
            </w:r>
            <w:r>
              <w:rPr>
                <w:sz w:val="17"/>
              </w:rPr>
              <w:t xml:space="preserve"> is a typed number (default 0), not a model output</w:t>
            </w:r>
          </w:p>
        </w:tc>
        <w:tc>
          <w:tcPr>
            <w:tcW w:type="dxa" w:w="3400"/>
            <w:shd w:val="clear" w:color="auto" w:fill="F4F6F9"/>
          </w:tcPr>
          <w:p>
            <w:pPr>
              <w:spacing w:after="20"/>
            </w:pPr>
            <w:r>
              <w:rPr>
                <w:sz w:val="17"/>
              </w:rPr>
              <w:t>Zoho Enterprise, Clari</w:t>
            </w:r>
          </w:p>
        </w:tc>
      </w:tr>
      <w:tr>
        <w:tc>
          <w:tcPr>
            <w:tcW w:type="dxa" w:w="3400"/>
          </w:tcPr>
          <w:p>
            <w:pPr>
              <w:spacing w:after="20"/>
            </w:pPr>
            <w:r>
              <w:rPr>
                <w:sz w:val="17"/>
              </w:rPr>
              <w:t>No dedupe, merge, or enrichment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Consolas" w:hAnsi="Consolas"/>
                <w:color w:val="9C274E"/>
                <w:sz w:val="18"/>
              </w:rPr>
              <w:t>Party</w:t>
            </w:r>
            <w:r>
              <w:rPr>
                <w:sz w:val="17"/>
              </w:rPr>
              <w:t xml:space="preserve">: create/list/get/update. No </w:t>
            </w:r>
            <w:r>
              <w:rPr>
                <w:rFonts w:ascii="Consolas" w:hAnsi="Consolas"/>
                <w:color w:val="9C274E"/>
                <w:sz w:val="18"/>
              </w:rPr>
              <w:t>Party.find_duplicates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9C274E"/>
                <w:sz w:val="18"/>
              </w:rPr>
              <w:t>Party.merge</w:t>
            </w:r>
            <w:r>
              <w:rPr>
                <w:sz w:val="17"/>
              </w:rPr>
              <w:t>, or enrichment resolve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sz w:val="17"/>
              </w:rPr>
              <w:t>Clay, Breeze Intelligence, Attio</w:t>
            </w:r>
          </w:p>
        </w:tc>
      </w:tr>
      <w:tr>
        <w:tc>
          <w:tcPr>
            <w:tcW w:type="dxa" w:w="3400"/>
            <w:shd w:val="clear" w:color="auto" w:fill="F4F6F9"/>
          </w:tcPr>
          <w:p>
            <w:pPr>
              <w:spacing w:after="20"/>
            </w:pPr>
            <w:r>
              <w:rPr>
                <w:sz w:val="17"/>
              </w:rPr>
              <w:t>Interactions name only one person</w:t>
            </w:r>
          </w:p>
        </w:tc>
        <w:tc>
          <w:tcPr>
            <w:tcW w:type="dxa" w:w="3400"/>
            <w:shd w:val="clear" w:color="auto" w:fill="F4F6F9"/>
          </w:tcPr>
          <w:p>
            <w:pPr>
              <w:spacing w:after="20"/>
            </w:pPr>
            <w:r>
              <w:rPr>
                <w:rFonts w:ascii="Consolas" w:hAnsi="Consolas"/>
                <w:color w:val="9C274E"/>
                <w:sz w:val="18"/>
              </w:rPr>
              <w:t>Note.create</w:t>
            </w:r>
            <w:r>
              <w:rPr>
                <w:sz w:val="17"/>
              </w:rPr>
              <w:t xml:space="preserve"> and </w:t>
            </w:r>
            <w:r>
              <w:rPr>
                <w:rFonts w:ascii="Consolas" w:hAnsi="Consolas"/>
                <w:color w:val="9C274E"/>
                <w:sz w:val="18"/>
              </w:rPr>
              <w:t>Activity.create</w:t>
            </w:r>
            <w:r>
              <w:rPr>
                <w:sz w:val="17"/>
              </w:rPr>
              <w:t xml:space="preserve"> each take a single </w:t>
            </w:r>
            <w:r>
              <w:rPr>
                <w:rFonts w:ascii="Consolas" w:hAnsi="Consolas"/>
                <w:color w:val="9C274E"/>
                <w:sz w:val="18"/>
              </w:rPr>
              <w:t>party_id</w:t>
            </w:r>
            <w:r>
              <w:rPr>
                <w:sz w:val="17"/>
              </w:rPr>
              <w:t xml:space="preserve"> (plus optional </w:t>
            </w:r>
            <w:r>
              <w:rPr>
                <w:rFonts w:ascii="Consolas" w:hAnsi="Consolas"/>
                <w:color w:val="9C274E"/>
                <w:sz w:val="18"/>
              </w:rPr>
              <w:t>deal_id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9C274E"/>
                <w:sz w:val="18"/>
              </w:rPr>
              <w:t>lead_id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9C274E"/>
                <w:sz w:val="18"/>
              </w:rPr>
              <w:t>company_id</w:t>
            </w:r>
            <w:r>
              <w:rPr>
                <w:sz w:val="17"/>
              </w:rPr>
              <w:t>). No participant array</w:t>
            </w:r>
          </w:p>
        </w:tc>
        <w:tc>
          <w:tcPr>
            <w:tcW w:type="dxa" w:w="3400"/>
            <w:shd w:val="clear" w:color="auto" w:fill="F4F6F9"/>
          </w:tcPr>
          <w:p>
            <w:pPr>
              <w:spacing w:after="20"/>
            </w:pPr>
            <w:r>
              <w:rPr>
                <w:sz w:val="17"/>
              </w:rPr>
              <w:t>Every calendar-integrated CRM</w:t>
            </w:r>
          </w:p>
        </w:tc>
      </w:tr>
      <w:tr>
        <w:tc>
          <w:tcPr>
            <w:tcW w:type="dxa" w:w="3400"/>
          </w:tcPr>
          <w:p>
            <w:pPr>
              <w:spacing w:after="20"/>
            </w:pPr>
            <w:r>
              <w:rPr>
                <w:sz w:val="17"/>
              </w:rPr>
              <w:t>Deals are single-threaded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Consolas" w:hAnsi="Consolas"/>
                <w:color w:val="9C274E"/>
                <w:sz w:val="18"/>
              </w:rPr>
              <w:t>Deal.create</w:t>
            </w:r>
            <w:r>
              <w:rPr>
                <w:sz w:val="17"/>
              </w:rPr>
              <w:t xml:space="preserve"> takes </w:t>
            </w:r>
            <w:r>
              <w:rPr>
                <w:rFonts w:ascii="Consolas" w:hAnsi="Consolas"/>
                <w:color w:val="9C274E"/>
                <w:sz w:val="18"/>
              </w:rPr>
              <w:t>products</w:t>
            </w:r>
            <w:r>
              <w:rPr>
                <w:sz w:val="17"/>
              </w:rPr>
              <w:t xml:space="preserve"> as an </w:t>
            </w:r>
            <w:r>
              <w:rPr>
                <w:b/>
                <w:sz w:val="17"/>
              </w:rPr>
              <w:t>array</w:t>
            </w:r>
            <w:r>
              <w:rPr>
                <w:sz w:val="17"/>
              </w:rPr>
              <w:t xml:space="preserve"> but </w:t>
            </w:r>
            <w:r>
              <w:rPr>
                <w:rFonts w:ascii="Consolas" w:hAnsi="Consolas"/>
                <w:color w:val="9C274E"/>
                <w:sz w:val="18"/>
              </w:rPr>
              <w:t>contact_id</w:t>
            </w:r>
            <w:r>
              <w:rPr>
                <w:sz w:val="17"/>
              </w:rPr>
              <w:t xml:space="preserve"> and </w:t>
            </w:r>
            <w:r>
              <w:rPr>
                <w:rFonts w:ascii="Consolas" w:hAnsi="Consolas"/>
                <w:color w:val="9C274E"/>
                <w:sz w:val="18"/>
              </w:rPr>
              <w:t>party_id</w:t>
            </w:r>
            <w:r>
              <w:rPr>
                <w:sz w:val="17"/>
              </w:rPr>
              <w:t xml:space="preserve"> as </w:t>
            </w:r>
            <w:r>
              <w:rPr>
                <w:b/>
                <w:sz w:val="17"/>
              </w:rPr>
              <w:t>scalars</w:t>
            </w:r>
            <w:r>
              <w:rPr>
                <w:sz w:val="17"/>
              </w:rPr>
              <w:t xml:space="preserve">. </w:t>
            </w:r>
            <w:r>
              <w:rPr>
                <w:rFonts w:ascii="Consolas" w:hAnsi="Consolas"/>
                <w:color w:val="9C274E"/>
                <w:sz w:val="18"/>
              </w:rPr>
              <w:t>source</w:t>
            </w:r>
            <w:r>
              <w:rPr>
                <w:sz w:val="17"/>
              </w:rPr>
              <w:t xml:space="preserve"> enum includes </w:t>
            </w:r>
            <w:r>
              <w:rPr>
                <w:rFonts w:ascii="Consolas" w:hAnsi="Consolas"/>
                <w:color w:val="9C274E"/>
                <w:sz w:val="18"/>
              </w:rPr>
              <w:t>referral</w:t>
            </w:r>
            <w:r>
              <w:rPr>
                <w:sz w:val="17"/>
              </w:rPr>
              <w:t xml:space="preserve"> with no referrer party field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sz w:val="17"/>
              </w:rPr>
              <w:t>Salesforce opportunity contact roles, HubSpot deal contacts</w:t>
            </w:r>
          </w:p>
        </w:tc>
      </w:tr>
      <w:tr>
        <w:tc>
          <w:tcPr>
            <w:tcW w:type="dxa" w:w="3400"/>
            <w:shd w:val="clear" w:color="auto" w:fill="F4F6F9"/>
          </w:tcPr>
          <w:p>
            <w:pPr>
              <w:spacing w:after="20"/>
            </w:pPr>
            <w:r>
              <w:rPr>
                <w:sz w:val="17"/>
              </w:rPr>
              <w:t>Relationship edges exist but are inert</w:t>
            </w:r>
          </w:p>
        </w:tc>
        <w:tc>
          <w:tcPr>
            <w:tcW w:type="dxa" w:w="3400"/>
            <w:shd w:val="clear" w:color="auto" w:fill="F4F6F9"/>
          </w:tcPr>
          <w:p>
            <w:pPr>
              <w:spacing w:after="20"/>
            </w:pPr>
            <w:r>
              <w:rPr>
                <w:rFonts w:ascii="Consolas" w:hAnsi="Consolas"/>
                <w:color w:val="9C274E"/>
                <w:sz w:val="18"/>
              </w:rPr>
              <w:t>PartyRelationship</w:t>
            </w:r>
            <w:r>
              <w:rPr>
                <w:sz w:val="17"/>
              </w:rPr>
              <w:t xml:space="preserve"> has create/list/get/update over </w:t>
            </w:r>
            <w:r>
              <w:rPr>
                <w:b/>
                <w:sz w:val="17"/>
              </w:rPr>
              <w:t>16</w:t>
            </w:r>
            <w:r>
              <w:rPr>
                <w:sz w:val="17"/>
              </w:rPr>
              <w:t xml:space="preserve"> typed edges (</w:t>
            </w:r>
            <w:r>
              <w:rPr>
                <w:rFonts w:ascii="Consolas" w:hAnsi="Consolas"/>
                <w:color w:val="9C274E"/>
                <w:sz w:val="18"/>
              </w:rPr>
              <w:t>guardian</w:t>
            </w:r>
            <w:r>
              <w:rPr>
                <w:sz w:val="17"/>
              </w:rPr>
              <w:t xml:space="preserve"> … </w:t>
            </w:r>
            <w:r>
              <w:rPr>
                <w:rFonts w:ascii="Consolas" w:hAnsi="Consolas"/>
                <w:color w:val="9C274E"/>
                <w:sz w:val="18"/>
              </w:rPr>
              <w:t>counterparty</w:t>
            </w:r>
            <w:r>
              <w:rPr>
                <w:sz w:val="17"/>
              </w:rPr>
              <w:t xml:space="preserve">, including </w:t>
            </w:r>
            <w:r>
              <w:rPr>
                <w:rFonts w:ascii="Consolas" w:hAnsi="Consolas"/>
                <w:color w:val="9C274E"/>
                <w:sz w:val="18"/>
              </w:rPr>
              <w:t>referred_by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9C274E"/>
                <w:sz w:val="18"/>
              </w:rPr>
              <w:t>referred</w:t>
            </w:r>
            <w:r>
              <w:rPr>
                <w:sz w:val="17"/>
              </w:rPr>
              <w:t xml:space="preserve">). Nothing observes, proposes, or walks them — and there is no </w:t>
            </w:r>
            <w:r>
              <w:rPr>
                <w:rFonts w:ascii="Consolas" w:hAnsi="Consolas"/>
                <w:color w:val="9C274E"/>
                <w:sz w:val="18"/>
              </w:rPr>
              <w:t>delete</w:t>
            </w:r>
          </w:p>
        </w:tc>
        <w:tc>
          <w:tcPr>
            <w:tcW w:type="dxa" w:w="3400"/>
            <w:shd w:val="clear" w:color="auto" w:fill="F4F6F9"/>
          </w:tcPr>
          <w:p>
            <w:pPr>
              <w:spacing w:after="20"/>
            </w:pPr>
            <w:r>
              <w:rPr>
                <w:sz w:val="17"/>
              </w:rPr>
              <w:t xml:space="preserve">Nobody holds </w:t>
            </w:r>
            <w:r>
              <w:rPr>
                <w:i/>
                <w:sz w:val="17"/>
              </w:rPr>
              <w:t>observed</w:t>
            </w:r>
            <w:r>
              <w:rPr>
                <w:sz w:val="17"/>
              </w:rPr>
              <w:t xml:space="preserve"> graph; TeamLink is outside CRM</w:t>
            </w:r>
          </w:p>
        </w:tc>
      </w:tr>
    </w:tbl>
    <w:p>
      <w:pPr>
        <w:spacing w:after="80"/>
      </w:pPr>
    </w:p>
    <w:p>
      <w:pPr>
        <w:pStyle w:val="Heading2"/>
      </w:pPr>
      <w:r>
        <w:t>2. Which of those can an agent close with tools this seat already has?</w:t>
      </w:r>
    </w:p>
    <w:p>
      <w:r>
        <w:t>Two buckets. Do not confuse them.</w:t>
      </w:r>
    </w:p>
    <w:p>
      <w:pPr>
        <w:pStyle w:val="Heading3"/>
      </w:pPr>
      <w:r>
        <w:t>Ours to fix (new tables / endpoints — agent cannot invent these)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Missing capability</w:t>
            </w:r>
          </w:p>
        </w:tc>
        <w:tc>
          <w:tcPr>
            <w:tcW w:type="dxa" w:w="5100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Why the seat cannot close it by orchestration</w:t>
            </w:r>
          </w:p>
        </w:tc>
      </w:tr>
      <w:tr>
        <w:tc>
          <w:tcPr>
            <w:tcW w:type="dxa" w:w="5100"/>
          </w:tcPr>
          <w:p>
            <w:pPr>
              <w:spacing w:after="20"/>
            </w:pPr>
            <w:r>
              <w:rPr>
                <w:rFonts w:ascii="Consolas" w:hAnsi="Consolas"/>
                <w:color w:val="9C274E"/>
                <w:sz w:val="18"/>
              </w:rPr>
              <w:t>{Entity}.aggregate</w:t>
            </w:r>
          </w:p>
        </w:tc>
        <w:tc>
          <w:tcPr>
            <w:tcW w:type="dxa" w:w="5100"/>
          </w:tcPr>
          <w:p>
            <w:pPr>
              <w:spacing w:after="20"/>
            </w:pPr>
            <w:r>
              <w:rPr>
                <w:sz w:val="19"/>
              </w:rPr>
              <w:t>No group-by tool exists; paginating 310 orders and summing in the model is not reporting</w:t>
            </w:r>
          </w:p>
        </w:tc>
      </w:tr>
      <w:tr>
        <w:tc>
          <w:tcPr>
            <w:tcW w:type="dxa" w:w="5100"/>
            <w:shd w:val="clear" w:color="auto" w:fill="F4F6F9"/>
          </w:tcPr>
          <w:p>
            <w:pPr>
              <w:spacing w:after="20"/>
            </w:pPr>
            <w:r>
              <w:rPr>
                <w:rFonts w:ascii="Consolas" w:hAnsi="Consolas"/>
                <w:color w:val="9C274E"/>
                <w:sz w:val="18"/>
              </w:rPr>
              <w:t>Invoice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9C274E"/>
                <w:sz w:val="18"/>
              </w:rPr>
              <w:t>CreditNote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9C274E"/>
                <w:sz w:val="18"/>
              </w:rPr>
              <w:t>SalesOrder.make.Invoice</w:t>
            </w:r>
          </w:p>
        </w:tc>
        <w:tc>
          <w:tcPr>
            <w:tcW w:type="dxa" w:w="5100"/>
            <w:shd w:val="clear" w:color="auto" w:fill="F4F6F9"/>
          </w:tcPr>
          <w:p>
            <w:pPr>
              <w:spacing w:after="20"/>
            </w:pPr>
            <w:r>
              <w:rPr>
                <w:sz w:val="19"/>
              </w:rPr>
              <w:t xml:space="preserve">Revenue chain dead-ends at SalesOrder; GST filing has nowhere to hang. Storefront </w:t>
            </w:r>
            <w:r>
              <w:rPr>
                <w:rFonts w:ascii="Consolas" w:hAnsi="Consolas"/>
                <w:color w:val="9C274E"/>
                <w:sz w:val="18"/>
              </w:rPr>
              <w:t>payment.verify</w:t>
            </w:r>
            <w:r>
              <w:rPr>
                <w:sz w:val="19"/>
              </w:rPr>
              <w:t xml:space="preserve"> does not bill a sales order</w:t>
            </w:r>
          </w:p>
        </w:tc>
      </w:tr>
      <w:tr>
        <w:tc>
          <w:tcPr>
            <w:tcW w:type="dxa" w:w="5100"/>
          </w:tcPr>
          <w:p>
            <w:pPr>
              <w:spacing w:after="20"/>
            </w:pPr>
            <w:r>
              <w:rPr>
                <w:rFonts w:ascii="Consolas" w:hAnsi="Consolas"/>
                <w:color w:val="9C274E"/>
                <w:sz w:val="18"/>
              </w:rPr>
              <w:t>AgentSkill.create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9C274E"/>
                <w:sz w:val="18"/>
              </w:rPr>
              <w:t>AgentPersona.create</w:t>
            </w:r>
            <w:r>
              <w:rPr>
                <w:sz w:val="19"/>
              </w:rPr>
              <w:t xml:space="preserve"> / version / publish</w:t>
            </w:r>
          </w:p>
        </w:tc>
        <w:tc>
          <w:tcPr>
            <w:tcW w:type="dxa" w:w="5100"/>
          </w:tcPr>
          <w:p>
            <w:pPr>
              <w:spacing w:after="20"/>
            </w:pPr>
            <w:r>
              <w:rPr>
                <w:sz w:val="19"/>
              </w:rPr>
              <w:t>Governance entities are read-only; an agent cannot author what it cannot write</w:t>
            </w:r>
          </w:p>
        </w:tc>
      </w:tr>
      <w:tr>
        <w:tc>
          <w:tcPr>
            <w:tcW w:type="dxa" w:w="5100"/>
            <w:shd w:val="clear" w:color="auto" w:fill="F4F6F9"/>
          </w:tcPr>
          <w:p>
            <w:pPr>
              <w:spacing w:after="20"/>
            </w:pPr>
            <w:r>
              <w:rPr>
                <w:rFonts w:ascii="Consolas" w:hAnsi="Consolas"/>
                <w:color w:val="9C274E"/>
                <w:sz w:val="18"/>
              </w:rPr>
              <w:t>Knowledge.ingest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9C274E"/>
                <w:sz w:val="18"/>
              </w:rPr>
              <w:t>Knowledge.search</w:t>
            </w:r>
          </w:p>
        </w:tc>
        <w:tc>
          <w:tcPr>
            <w:tcW w:type="dxa" w:w="5100"/>
            <w:shd w:val="clear" w:color="auto" w:fill="F4F6F9"/>
          </w:tcPr>
          <w:p>
            <w:pPr>
              <w:spacing w:after="20"/>
            </w:pPr>
            <w:r>
              <w:rPr>
                <w:sz w:val="19"/>
              </w:rPr>
              <w:t>Attachments are unindexed; no retrieval surface</w:t>
            </w:r>
          </w:p>
        </w:tc>
      </w:tr>
      <w:tr>
        <w:tc>
          <w:tcPr>
            <w:tcW w:type="dxa" w:w="5100"/>
          </w:tcPr>
          <w:p>
            <w:pPr>
              <w:spacing w:after="20"/>
            </w:pPr>
            <w:r>
              <w:rPr>
                <w:rFonts w:ascii="Consolas" w:hAnsi="Consolas"/>
                <w:color w:val="9C274E"/>
                <w:sz w:val="18"/>
              </w:rPr>
              <w:t>Ticket.*</w:t>
            </w:r>
            <w:r>
              <w:rPr>
                <w:sz w:val="19"/>
              </w:rPr>
              <w:t xml:space="preserve"> with SLA</w:t>
            </w:r>
          </w:p>
        </w:tc>
        <w:tc>
          <w:tcPr>
            <w:tcW w:type="dxa" w:w="5100"/>
          </w:tcPr>
          <w:p>
            <w:pPr>
              <w:spacing w:after="20"/>
            </w:pPr>
            <w:r>
              <w:rPr>
                <w:rFonts w:ascii="Consolas" w:hAnsi="Consolas"/>
                <w:color w:val="9C274E"/>
                <w:sz w:val="18"/>
              </w:rPr>
              <w:t>BugReport</w:t>
            </w:r>
            <w:r>
              <w:rPr>
                <w:sz w:val="19"/>
              </w:rPr>
              <w:t xml:space="preserve"> has no update path and no queue semantics</w:t>
            </w:r>
          </w:p>
        </w:tc>
      </w:tr>
      <w:tr>
        <w:tc>
          <w:tcPr>
            <w:tcW w:type="dxa" w:w="5100"/>
            <w:shd w:val="clear" w:color="auto" w:fill="F4F6F9"/>
          </w:tcPr>
          <w:p>
            <w:pPr>
              <w:spacing w:after="20"/>
            </w:pPr>
            <w:r>
              <w:rPr>
                <w:rFonts w:ascii="Consolas" w:hAnsi="Consolas"/>
                <w:color w:val="9C274E"/>
                <w:sz w:val="18"/>
              </w:rPr>
              <w:t>Email.send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9C274E"/>
                <w:sz w:val="18"/>
              </w:rPr>
              <w:t>Sequence.*</w:t>
            </w:r>
          </w:p>
        </w:tc>
        <w:tc>
          <w:tcPr>
            <w:tcW w:type="dxa" w:w="5100"/>
            <w:shd w:val="clear" w:color="auto" w:fill="F4F6F9"/>
          </w:tcPr>
          <w:p>
            <w:pPr>
              <w:spacing w:after="20"/>
            </w:pPr>
            <w:r>
              <w:rPr>
                <w:sz w:val="19"/>
              </w:rPr>
              <w:t xml:space="preserve">No send tool on any channel despite </w:t>
            </w:r>
            <w:r>
              <w:rPr>
                <w:rFonts w:ascii="Consolas" w:hAnsi="Consolas"/>
                <w:color w:val="9C274E"/>
                <w:sz w:val="18"/>
              </w:rPr>
              <w:t>AgentSession.create.channel</w:t>
            </w:r>
            <w:r>
              <w:rPr>
                <w:sz w:val="19"/>
              </w:rPr>
              <w:t xml:space="preserve"> ∈ </w:t>
            </w:r>
            <w:r>
              <w:rPr>
                <w:rFonts w:ascii="Consolas" w:hAnsi="Consolas"/>
                <w:color w:val="9C274E"/>
                <w:sz w:val="18"/>
              </w:rPr>
              <w:t>{web, whatsapp, telegram, slack, discord, email, api}</w:t>
            </w:r>
          </w:p>
        </w:tc>
      </w:tr>
      <w:tr>
        <w:tc>
          <w:tcPr>
            <w:tcW w:type="dxa" w:w="5100"/>
          </w:tcPr>
          <w:p>
            <w:pPr>
              <w:spacing w:after="20"/>
            </w:pPr>
            <w:r>
              <w:rPr>
                <w:rFonts w:ascii="Consolas" w:hAnsi="Consolas"/>
                <w:color w:val="9C274E"/>
                <w:sz w:val="18"/>
              </w:rPr>
              <w:t>ActivityParticipant</w:t>
            </w:r>
            <w:r>
              <w:rPr>
                <w:sz w:val="19"/>
              </w:rPr>
              <w:t xml:space="preserve"> join</w:t>
            </w:r>
          </w:p>
        </w:tc>
        <w:tc>
          <w:tcPr>
            <w:tcW w:type="dxa" w:w="5100"/>
          </w:tcPr>
          <w:p>
            <w:pPr>
              <w:spacing w:after="20"/>
            </w:pPr>
            <w:r>
              <w:rPr>
                <w:sz w:val="19"/>
              </w:rPr>
              <w:t>Schema forbids multi-party interactions; co-attendance cannot be expressed</w:t>
            </w:r>
          </w:p>
        </w:tc>
      </w:tr>
      <w:tr>
        <w:tc>
          <w:tcPr>
            <w:tcW w:type="dxa" w:w="5100"/>
            <w:shd w:val="clear" w:color="auto" w:fill="F4F6F9"/>
          </w:tcPr>
          <w:p>
            <w:pPr>
              <w:spacing w:after="20"/>
            </w:pPr>
            <w:r>
              <w:rPr>
                <w:rFonts w:ascii="Consolas" w:hAnsi="Consolas"/>
                <w:color w:val="9C274E"/>
                <w:sz w:val="18"/>
              </w:rPr>
              <w:t>DealContact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9C274E"/>
                <w:sz w:val="18"/>
              </w:rPr>
              <w:t>referred_by_party_id</w:t>
            </w:r>
          </w:p>
        </w:tc>
        <w:tc>
          <w:tcPr>
            <w:tcW w:type="dxa" w:w="5100"/>
            <w:shd w:val="clear" w:color="auto" w:fill="F4F6F9"/>
          </w:tcPr>
          <w:p>
            <w:pPr>
              <w:spacing w:after="20"/>
            </w:pPr>
            <w:r>
              <w:rPr>
                <w:sz w:val="19"/>
              </w:rPr>
              <w:t>Buying committee and referral attribution are not columns an agent can invent</w:t>
            </w:r>
          </w:p>
        </w:tc>
      </w:tr>
    </w:tbl>
    <w:p>
      <w:pPr>
        <w:spacing w:after="80"/>
      </w:pPr>
    </w:p>
    <w:p>
      <w:pPr>
        <w:pStyle w:val="Heading3"/>
      </w:pPr>
      <w:r>
        <w:t>Yours to build (orchestration over what already exists)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Agent goal</w:t>
            </w:r>
          </w:p>
        </w:tc>
        <w:tc>
          <w:tcPr>
            <w:tcW w:type="dxa" w:w="3400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Tools this seat already has (exact names)</w:t>
            </w:r>
          </w:p>
        </w:tc>
        <w:tc>
          <w:tcPr>
            <w:tcW w:type="dxa" w:w="3400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What the agent must do</w:t>
            </w:r>
          </w:p>
        </w:tc>
      </w:tr>
      <w:tr>
        <w:tc>
          <w:tcPr>
            <w:tcW w:type="dxa" w:w="3400"/>
          </w:tcPr>
          <w:p>
            <w:pPr>
              <w:spacing w:after="20"/>
            </w:pPr>
            <w:r>
              <w:rPr>
                <w:sz w:val="17"/>
              </w:rPr>
              <w:t>Move a lead → deal → quote → order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Consolas" w:hAnsi="Consolas"/>
                <w:color w:val="9C274E"/>
                <w:sz w:val="18"/>
              </w:rPr>
              <w:t>Lead.qualify.*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9C274E"/>
                <w:sz w:val="18"/>
              </w:rPr>
              <w:t>Lead.make.Deal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9C274E"/>
                <w:sz w:val="18"/>
              </w:rPr>
              <w:t>Deal.qualify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9C274E"/>
                <w:sz w:val="18"/>
              </w:rPr>
              <w:t>Deal.send_proposal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9C274E"/>
                <w:sz w:val="18"/>
              </w:rPr>
              <w:t>Deal.negotiate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9C274E"/>
                <w:sz w:val="18"/>
              </w:rPr>
              <w:t>Deal.mark_won.*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9C274E"/>
                <w:sz w:val="18"/>
              </w:rPr>
              <w:t>Deal.mark_lost.*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9C274E"/>
                <w:sz w:val="18"/>
              </w:rPr>
              <w:t>Deal.make.Quotation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9C274E"/>
                <w:sz w:val="18"/>
              </w:rPr>
              <w:t>Quotation.send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9C274E"/>
                <w:sz w:val="18"/>
              </w:rPr>
              <w:t>Quotation.accept.*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9C274E"/>
                <w:sz w:val="18"/>
              </w:rPr>
              <w:t>Quotation.make.SalesOrder</w:t>
            </w:r>
            <w:r>
              <w:rPr>
                <w:sz w:val="17"/>
              </w:rPr>
              <w:t xml:space="preserve"> (or </w:t>
            </w:r>
            <w:r>
              <w:rPr>
                <w:rFonts w:ascii="Consolas" w:hAnsi="Consolas"/>
                <w:color w:val="9C274E"/>
                <w:sz w:val="18"/>
              </w:rPr>
              <w:t>Quotation.convert_to_order.*</w:t>
            </w:r>
            <w:r>
              <w:rPr>
                <w:sz w:val="17"/>
              </w:rPr>
              <w:t xml:space="preserve">) → </w:t>
            </w:r>
            <w:r>
              <w:rPr>
                <w:rFonts w:ascii="Consolas" w:hAnsi="Consolas"/>
                <w:color w:val="9C274E"/>
                <w:sz w:val="18"/>
              </w:rPr>
              <w:t>SalesOrder.confirm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9C274E"/>
                <w:sz w:val="18"/>
              </w:rPr>
              <w:t>SalesOrder.approval.submit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sz w:val="17"/>
              </w:rPr>
              <w:t>Hold the stage goal, re-</w:t>
            </w:r>
            <w:r>
              <w:rPr>
                <w:rFonts w:ascii="Consolas" w:hAnsi="Consolas"/>
                <w:color w:val="9C274E"/>
                <w:sz w:val="18"/>
              </w:rPr>
              <w:t>get</w:t>
            </w:r>
            <w:r>
              <w:rPr>
                <w:sz w:val="17"/>
              </w:rPr>
              <w:t xml:space="preserve"> after each transition, branch on failure</w:t>
            </w:r>
          </w:p>
        </w:tc>
      </w:tr>
      <w:tr>
        <w:tc>
          <w:tcPr>
            <w:tcW w:type="dxa" w:w="3400"/>
            <w:shd w:val="clear" w:color="auto" w:fill="F4F6F9"/>
          </w:tcPr>
          <w:p>
            <w:pPr>
              <w:spacing w:after="20"/>
            </w:pPr>
            <w:r>
              <w:rPr>
                <w:sz w:val="17"/>
              </w:rPr>
              <w:t>File notes and activities on a party/deal</w:t>
            </w:r>
          </w:p>
        </w:tc>
        <w:tc>
          <w:tcPr>
            <w:tcW w:type="dxa" w:w="3400"/>
            <w:shd w:val="clear" w:color="auto" w:fill="F4F6F9"/>
          </w:tcPr>
          <w:p>
            <w:pPr>
              <w:spacing w:after="20"/>
            </w:pPr>
            <w:r>
              <w:rPr>
                <w:rFonts w:ascii="Consolas" w:hAnsi="Consolas"/>
                <w:color w:val="9C274E"/>
                <w:sz w:val="18"/>
              </w:rPr>
              <w:t>Note.create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9C274E"/>
                <w:sz w:val="18"/>
              </w:rPr>
              <w:t>.update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9C274E"/>
                <w:sz w:val="18"/>
              </w:rPr>
              <w:t>Activity.create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9C274E"/>
                <w:sz w:val="18"/>
              </w:rPr>
              <w:t>.update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9C274E"/>
                <w:sz w:val="18"/>
              </w:rPr>
              <w:t>CallNoteDraft.list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9C274E"/>
                <w:sz w:val="18"/>
              </w:rPr>
              <w:t>.get</w:t>
            </w:r>
            <w:r>
              <w:rPr>
                <w:sz w:val="17"/>
              </w:rPr>
              <w:t xml:space="preserve"> (read-only drafts — </w:t>
            </w:r>
            <w:r>
              <w:rPr>
                <w:b/>
                <w:sz w:val="17"/>
              </w:rPr>
              <w:t>no approve/publish tool</w:t>
            </w:r>
            <w:r>
              <w:rPr>
                <w:sz w:val="17"/>
              </w:rPr>
              <w:t>)</w:t>
            </w:r>
          </w:p>
        </w:tc>
        <w:tc>
          <w:tcPr>
            <w:tcW w:type="dxa" w:w="3400"/>
            <w:shd w:val="clear" w:color="auto" w:fill="F4F6F9"/>
          </w:tcPr>
          <w:p>
            <w:pPr>
              <w:spacing w:after="20"/>
            </w:pPr>
            <w:r>
              <w:rPr>
                <w:sz w:val="17"/>
              </w:rPr>
              <w:t xml:space="preserve">Draft in CallNoteDraft if present, then write </w:t>
            </w:r>
            <w:r>
              <w:rPr>
                <w:rFonts w:ascii="Consolas" w:hAnsi="Consolas"/>
                <w:color w:val="9C274E"/>
                <w:sz w:val="18"/>
              </w:rPr>
              <w:t>Note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9C274E"/>
                <w:sz w:val="18"/>
              </w:rPr>
              <w:t>Activity</w:t>
            </w:r>
            <w:r>
              <w:rPr>
                <w:sz w:val="17"/>
              </w:rPr>
              <w:t xml:space="preserve"> yourself; escalate if human edit is required</w:t>
            </w:r>
          </w:p>
        </w:tc>
      </w:tr>
      <w:tr>
        <w:tc>
          <w:tcPr>
            <w:tcW w:type="dxa" w:w="3400"/>
          </w:tcPr>
          <w:p>
            <w:pPr>
              <w:spacing w:after="20"/>
            </w:pPr>
            <w:r>
              <w:rPr>
                <w:sz w:val="17"/>
              </w:rPr>
              <w:t>Respect spend and reach caps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Consolas" w:hAnsi="Consolas"/>
                <w:color w:val="9C274E"/>
                <w:sz w:val="18"/>
              </w:rPr>
              <w:t>AgentPersona.daily_limits</w:t>
            </w:r>
            <w:r>
              <w:rPr>
                <w:sz w:val="17"/>
              </w:rPr>
              <w:t xml:space="preserve"> (tokens/USD used vs budget, blocked flag, reset 00:00 UTC); </w:t>
            </w:r>
            <w:r>
              <w:rPr>
                <w:rFonts w:ascii="Consolas" w:hAnsi="Consolas"/>
                <w:color w:val="9C274E"/>
                <w:sz w:val="18"/>
              </w:rPr>
              <w:t>AgentToolPolicy.list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9C274E"/>
                <w:sz w:val="18"/>
              </w:rPr>
              <w:t>.get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9C274E"/>
                <w:sz w:val="18"/>
              </w:rPr>
              <w:t>AgentFloorConfig.list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9C274E"/>
                <w:sz w:val="18"/>
              </w:rPr>
              <w:t>.get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sz w:val="17"/>
              </w:rPr>
              <w:t>Refuse or escalate when limits are exhausted before calling spendy tools</w:t>
            </w:r>
          </w:p>
        </w:tc>
      </w:tr>
      <w:tr>
        <w:tc>
          <w:tcPr>
            <w:tcW w:type="dxa" w:w="3400"/>
            <w:shd w:val="clear" w:color="auto" w:fill="F4F6F9"/>
          </w:tcPr>
          <w:p>
            <w:pPr>
              <w:spacing w:after="20"/>
            </w:pPr>
            <w:r>
              <w:rPr>
                <w:sz w:val="17"/>
              </w:rPr>
              <w:t>Escalate when stuck</w:t>
            </w:r>
          </w:p>
        </w:tc>
        <w:tc>
          <w:tcPr>
            <w:tcW w:type="dxa" w:w="3400"/>
            <w:shd w:val="clear" w:color="auto" w:fill="F4F6F9"/>
          </w:tcPr>
          <w:p>
            <w:pPr>
              <w:spacing w:after="20"/>
            </w:pPr>
            <w:r>
              <w:rPr>
                <w:rFonts w:ascii="Consolas" w:hAnsi="Consolas"/>
                <w:color w:val="9C274E"/>
                <w:sz w:val="18"/>
              </w:rPr>
              <w:t>AgentEscalation.create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9C274E"/>
                <w:sz w:val="18"/>
              </w:rPr>
              <w:t>.list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9C274E"/>
                <w:sz w:val="18"/>
              </w:rPr>
              <w:t>.get</w:t>
            </w:r>
          </w:p>
        </w:tc>
        <w:tc>
          <w:tcPr>
            <w:tcW w:type="dxa" w:w="3400"/>
            <w:shd w:val="clear" w:color="auto" w:fill="F4F6F9"/>
          </w:tcPr>
          <w:p>
            <w:pPr>
              <w:spacing w:after="20"/>
            </w:pPr>
            <w:r>
              <w:rPr>
                <w:sz w:val="17"/>
              </w:rPr>
              <w:t>Park the goal, hand a human a decision, resume after resolution</w:t>
            </w:r>
          </w:p>
        </w:tc>
      </w:tr>
      <w:tr>
        <w:tc>
          <w:tcPr>
            <w:tcW w:type="dxa" w:w="3400"/>
          </w:tcPr>
          <w:p>
            <w:pPr>
              <w:spacing w:after="20"/>
            </w:pPr>
            <w:r>
              <w:rPr>
                <w:sz w:val="17"/>
              </w:rPr>
              <w:t>Prove what the agent did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Consolas" w:hAnsi="Consolas"/>
                <w:color w:val="9C274E"/>
                <w:sz w:val="18"/>
              </w:rPr>
              <w:t>endpoint.job_ledger.verify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9C274E"/>
                <w:sz w:val="18"/>
              </w:rPr>
              <w:t>endpoint.job_ledger.replay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9C274E"/>
                <w:sz w:val="18"/>
              </w:rPr>
              <w:t>endpoint.job_ledger.forensics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9C274E"/>
                <w:sz w:val="18"/>
              </w:rPr>
              <w:t>AgentLedgerSeal.list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9C274E"/>
                <w:sz w:val="18"/>
              </w:rPr>
              <w:t>.get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sz w:val="17"/>
              </w:rPr>
              <w:t>After a multi-step run, produce a replayable audit trail</w:t>
            </w:r>
          </w:p>
        </w:tc>
      </w:tr>
      <w:tr>
        <w:tc>
          <w:tcPr>
            <w:tcW w:type="dxa" w:w="3400"/>
            <w:shd w:val="clear" w:color="auto" w:fill="F4F6F9"/>
          </w:tcPr>
          <w:p>
            <w:pPr>
              <w:spacing w:after="20"/>
            </w:pPr>
            <w:r>
              <w:rPr>
                <w:sz w:val="17"/>
              </w:rPr>
              <w:t>Honor DSAR / retention</w:t>
            </w:r>
          </w:p>
        </w:tc>
        <w:tc>
          <w:tcPr>
            <w:tcW w:type="dxa" w:w="3400"/>
            <w:shd w:val="clear" w:color="auto" w:fill="F4F6F9"/>
          </w:tcPr>
          <w:p>
            <w:pPr>
              <w:spacing w:after="20"/>
            </w:pPr>
            <w:r>
              <w:rPr>
                <w:rFonts w:ascii="Consolas" w:hAnsi="Consolas"/>
                <w:color w:val="9C274E"/>
                <w:sz w:val="18"/>
              </w:rPr>
              <w:t>PrivacyRequest.create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9C274E"/>
                <w:sz w:val="18"/>
              </w:rPr>
              <w:t>.update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9C274E"/>
                <w:sz w:val="18"/>
              </w:rPr>
              <w:t>endpoint.agent_governance.privacy.forget.preview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9C274E"/>
                <w:sz w:val="18"/>
              </w:rPr>
              <w:t>AgentRetentionRule.list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9C274E"/>
                <w:sz w:val="18"/>
              </w:rPr>
              <w:t>LedgerRetentionPolicy.list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9C274E"/>
                <w:sz w:val="18"/>
              </w:rPr>
              <w:t>endpoint.job_ledger.retention.preview</w:t>
            </w:r>
          </w:p>
        </w:tc>
        <w:tc>
          <w:tcPr>
            <w:tcW w:type="dxa" w:w="3400"/>
            <w:shd w:val="clear" w:color="auto" w:fill="F4F6F9"/>
          </w:tcPr>
          <w:p>
            <w:pPr>
              <w:spacing w:after="20"/>
            </w:pPr>
            <w:r>
              <w:rPr>
                <w:sz w:val="17"/>
              </w:rPr>
              <w:t>Preview blast radius, then execute forget under policy</w:t>
            </w:r>
          </w:p>
        </w:tc>
      </w:tr>
      <w:tr>
        <w:tc>
          <w:tcPr>
            <w:tcW w:type="dxa" w:w="3400"/>
          </w:tcPr>
          <w:p>
            <w:pPr>
              <w:spacing w:after="20"/>
            </w:pPr>
            <w:r>
              <w:rPr>
                <w:sz w:val="17"/>
              </w:rPr>
              <w:t>Operate the agent floor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Consolas" w:hAnsi="Consolas"/>
                <w:color w:val="9C274E"/>
                <w:sz w:val="18"/>
              </w:rPr>
              <w:t>endpoint.mission_control.staffing_forecast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9C274E"/>
                <w:sz w:val="18"/>
              </w:rPr>
              <w:t>.incidents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9C274E"/>
                <w:sz w:val="18"/>
              </w:rPr>
              <w:t>.incident_timeline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9C274E"/>
                <w:sz w:val="18"/>
              </w:rPr>
              <w:t>.runbooks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9C274E"/>
                <w:sz w:val="18"/>
              </w:rPr>
              <w:t>AgentRunbook.list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9C274E"/>
                <w:sz w:val="18"/>
              </w:rPr>
              <w:t>AgentRunbookRun.list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sz w:val="17"/>
              </w:rPr>
              <w:t>Treat agents as a staffed floor, not toggles</w:t>
            </w:r>
          </w:p>
        </w:tc>
      </w:tr>
      <w:tr>
        <w:tc>
          <w:tcPr>
            <w:tcW w:type="dxa" w:w="3400"/>
            <w:shd w:val="clear" w:color="auto" w:fill="F4F6F9"/>
          </w:tcPr>
          <w:p>
            <w:pPr>
              <w:spacing w:after="20"/>
            </w:pPr>
            <w:r>
              <w:rPr>
                <w:sz w:val="17"/>
              </w:rPr>
              <w:t>Keep working memory across steps</w:t>
            </w:r>
          </w:p>
        </w:tc>
        <w:tc>
          <w:tcPr>
            <w:tcW w:type="dxa" w:w="3400"/>
            <w:shd w:val="clear" w:color="auto" w:fill="F4F6F9"/>
          </w:tcPr>
          <w:p>
            <w:pPr>
              <w:spacing w:after="20"/>
            </w:pPr>
            <w:r>
              <w:rPr>
                <w:rFonts w:ascii="Consolas" w:hAnsi="Consolas"/>
                <w:color w:val="9C274E"/>
                <w:sz w:val="18"/>
              </w:rPr>
              <w:t>AgentMemory.create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9C274E"/>
                <w:sz w:val="18"/>
              </w:rPr>
              <w:t>.list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9C274E"/>
                <w:sz w:val="18"/>
              </w:rPr>
              <w:t>AgentTodo.create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9C274E"/>
                <w:sz w:val="18"/>
              </w:rPr>
              <w:t>.list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9C274E"/>
                <w:sz w:val="18"/>
              </w:rPr>
              <w:t>AgentTask.create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9C274E"/>
                <w:sz w:val="18"/>
              </w:rPr>
              <w:t>.list</w:t>
            </w:r>
          </w:p>
        </w:tc>
        <w:tc>
          <w:tcPr>
            <w:tcW w:type="dxa" w:w="3400"/>
            <w:shd w:val="clear" w:color="auto" w:fill="F4F6F9"/>
          </w:tcPr>
          <w:p>
            <w:pPr>
              <w:spacing w:after="20"/>
            </w:pPr>
            <w:r>
              <w:rPr>
                <w:sz w:val="17"/>
              </w:rPr>
              <w:t>Persist intermediate state so a twenty-step goal survives session boundaries</w:t>
            </w:r>
          </w:p>
        </w:tc>
      </w:tr>
      <w:tr>
        <w:tc>
          <w:tcPr>
            <w:tcW w:type="dxa" w:w="3400"/>
          </w:tcPr>
          <w:p>
            <w:pPr>
              <w:spacing w:after="20"/>
            </w:pPr>
            <w:r>
              <w:rPr>
                <w:sz w:val="17"/>
              </w:rPr>
              <w:t>Manual relationship hygiene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Consolas" w:hAnsi="Consolas"/>
                <w:color w:val="9C274E"/>
                <w:sz w:val="18"/>
              </w:rPr>
              <w:t>PartyRelationship.create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9C274E"/>
                <w:sz w:val="18"/>
              </w:rPr>
              <w:t>.update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9C274E"/>
                <w:sz w:val="18"/>
              </w:rPr>
              <w:t>.list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9C274E"/>
                <w:sz w:val="18"/>
              </w:rPr>
              <w:t>.get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9C274E"/>
                <w:sz w:val="18"/>
              </w:rPr>
              <w:t>Party.list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9C274E"/>
                <w:sz w:val="18"/>
              </w:rPr>
              <w:t>.get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sz w:val="17"/>
              </w:rPr>
              <w:t>Type declared edges (</w:t>
            </w:r>
            <w:r>
              <w:rPr>
                <w:rFonts w:ascii="Consolas" w:hAnsi="Consolas"/>
                <w:color w:val="9C274E"/>
                <w:sz w:val="18"/>
              </w:rPr>
              <w:t>referred_by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9C274E"/>
                <w:sz w:val="18"/>
              </w:rPr>
              <w:t>employer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9C274E"/>
                <w:sz w:val="18"/>
              </w:rPr>
              <w:t>billing_contact</w:t>
            </w:r>
            <w:r>
              <w:rPr>
                <w:sz w:val="17"/>
              </w:rPr>
              <w:t xml:space="preserve">, …) — </w:t>
            </w:r>
            <w:r>
              <w:rPr>
                <w:b/>
                <w:sz w:val="17"/>
              </w:rPr>
              <w:t>not</w:t>
            </w:r>
            <w:r>
              <w:rPr>
                <w:sz w:val="17"/>
              </w:rPr>
              <w:t xml:space="preserve"> observed inference</w:t>
            </w:r>
          </w:p>
        </w:tc>
      </w:tr>
    </w:tbl>
    <w:p>
      <w:pPr>
        <w:spacing w:after="80"/>
      </w:pPr>
    </w:p>
    <w:p>
      <w:r>
        <w:t xml:space="preserve">If a gap needs a column that is not there, stop and file it under </w:t>
      </w:r>
      <w:r>
        <w:rPr>
          <w:i/>
        </w:rPr>
        <w:t>ours</w:t>
      </w:r>
      <w:r>
        <w:t xml:space="preserve">. If every step already has a tool, that is </w:t>
      </w:r>
      <w:r>
        <w:rPr>
          <w:i/>
        </w:rPr>
        <w:t>yours</w:t>
      </w:r>
      <w:r>
        <w:t xml:space="preserve"> — write the skill / runbook, do not wait for platform.</w:t>
      </w:r>
    </w:p>
    <w:p>
      <w:pPr>
        <w:pStyle w:val="Heading2"/>
      </w:pPr>
      <w:r>
        <w:t>3. What can an agent do that their product cannot?</w:t>
      </w:r>
    </w:p>
    <w:p>
      <w:r>
        <w:t xml:space="preserve">Their product is a UI over a database: a human clicks every step. Our seat is a </w:t>
      </w:r>
      <w:r>
        <w:rPr>
          <w:b/>
        </w:rPr>
        <w:t>permissioned tool surface plus a job ledger</w:t>
      </w:r>
      <w:r>
        <w:t>. That changes what “using the CRM” means.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Their UI forces</w:t>
            </w:r>
          </w:p>
        </w:tc>
        <w:tc>
          <w:tcPr>
            <w:tcW w:type="dxa" w:w="5100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An AgentSwitch agent can</w:t>
            </w:r>
          </w:p>
        </w:tc>
      </w:tr>
      <w:tr>
        <w:tc>
          <w:tcPr>
            <w:tcW w:type="dxa" w:w="5100"/>
          </w:tcPr>
          <w:p>
            <w:pPr>
              <w:spacing w:after="20"/>
            </w:pPr>
            <w:r>
              <w:rPr>
                <w:sz w:val="19"/>
              </w:rPr>
              <w:t>One screen, one action, one human</w:t>
            </w:r>
          </w:p>
        </w:tc>
        <w:tc>
          <w:tcPr>
            <w:tcW w:type="dxa" w:w="5100"/>
          </w:tcPr>
          <w:p>
            <w:pPr>
              <w:spacing w:after="20"/>
            </w:pPr>
            <w:r>
              <w:rPr>
                <w:sz w:val="19"/>
              </w:rPr>
              <w:t xml:space="preserve">Hold a goal across twenty tool calls — lead qualify → deal negotiate → quotation → sales order confirm — re-reading </w:t>
            </w:r>
            <w:r>
              <w:rPr>
                <w:rFonts w:ascii="Consolas" w:hAnsi="Consolas"/>
                <w:color w:val="9C274E"/>
                <w:sz w:val="18"/>
              </w:rPr>
              <w:t>Deal.get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9C274E"/>
                <w:sz w:val="18"/>
              </w:rPr>
              <w:t>Quotation.get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9C274E"/>
                <w:sz w:val="18"/>
              </w:rPr>
              <w:t>SalesOrder.get</w:t>
            </w:r>
            <w:r>
              <w:rPr>
                <w:sz w:val="19"/>
              </w:rPr>
              <w:t xml:space="preserve"> when state changes underneath</w:t>
            </w:r>
          </w:p>
        </w:tc>
      </w:tr>
      <w:tr>
        <w:tc>
          <w:tcPr>
            <w:tcW w:type="dxa" w:w="5100"/>
            <w:shd w:val="clear" w:color="auto" w:fill="F4F6F9"/>
          </w:tcPr>
          <w:p>
            <w:pPr>
              <w:spacing w:after="20"/>
            </w:pPr>
            <w:r>
              <w:rPr>
                <w:sz w:val="19"/>
              </w:rPr>
              <w:t>Telemetry dashboards after the fact</w:t>
            </w:r>
          </w:p>
        </w:tc>
        <w:tc>
          <w:tcPr>
            <w:tcW w:type="dxa" w:w="5100"/>
            <w:shd w:val="clear" w:color="auto" w:fill="F4F6F9"/>
          </w:tcPr>
          <w:p>
            <w:pPr>
              <w:spacing w:after="20"/>
            </w:pPr>
            <w:r>
              <w:rPr>
                <w:sz w:val="19"/>
              </w:rPr>
              <w:t xml:space="preserve">Prove a specific action with </w:t>
            </w:r>
            <w:r>
              <w:rPr>
                <w:rFonts w:ascii="Consolas" w:hAnsi="Consolas"/>
                <w:color w:val="9C274E"/>
                <w:sz w:val="18"/>
              </w:rPr>
              <w:t>endpoint.job_ledger.replay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9C274E"/>
                <w:sz w:val="18"/>
              </w:rPr>
              <w:t>.forensics</w:t>
            </w:r>
            <w:r>
              <w:rPr>
                <w:sz w:val="19"/>
              </w:rPr>
              <w:t xml:space="preserve"> and </w:t>
            </w:r>
            <w:r>
              <w:rPr>
                <w:rFonts w:ascii="Consolas" w:hAnsi="Consolas"/>
                <w:color w:val="9C274E"/>
                <w:sz w:val="18"/>
              </w:rPr>
              <w:t>AgentLedgerSeal</w:t>
            </w:r>
            <w:r>
              <w:rPr>
                <w:sz w:val="19"/>
              </w:rPr>
              <w:t xml:space="preserve"> — cryptographic answer to </w:t>
            </w:r>
            <w:r>
              <w:rPr>
                <w:i/>
                <w:sz w:val="19"/>
              </w:rPr>
              <w:t>"what did the agent do and why"</w:t>
            </w:r>
          </w:p>
        </w:tc>
      </w:tr>
      <w:tr>
        <w:tc>
          <w:tcPr>
            <w:tcW w:type="dxa" w:w="5100"/>
          </w:tcPr>
          <w:p>
            <w:pPr>
              <w:spacing w:after="20"/>
            </w:pPr>
            <w:r>
              <w:rPr>
                <w:sz w:val="19"/>
              </w:rPr>
              <w:t>Soft policy documents</w:t>
            </w:r>
          </w:p>
        </w:tc>
        <w:tc>
          <w:tcPr>
            <w:tcW w:type="dxa" w:w="5100"/>
          </w:tcPr>
          <w:p>
            <w:pPr>
              <w:spacing w:after="20"/>
            </w:pPr>
            <w:r>
              <w:rPr>
                <w:sz w:val="19"/>
              </w:rPr>
              <w:t xml:space="preserve">Read </w:t>
            </w:r>
            <w:r>
              <w:rPr>
                <w:rFonts w:ascii="Consolas" w:hAnsi="Consolas"/>
                <w:color w:val="9C274E"/>
                <w:sz w:val="18"/>
              </w:rPr>
              <w:t>AgentToolPolicy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9C274E"/>
                <w:sz w:val="18"/>
              </w:rPr>
              <w:t>AgentPersona.daily_limits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9C274E"/>
                <w:sz w:val="18"/>
              </w:rPr>
              <w:t>AgentFloorConfig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before</w:t>
            </w:r>
            <w:r>
              <w:rPr>
                <w:sz w:val="19"/>
              </w:rPr>
              <w:t xml:space="preserve"> execution; hard-stop or escalate when </w:t>
            </w:r>
            <w:r>
              <w:rPr>
                <w:rFonts w:ascii="Consolas" w:hAnsi="Consolas"/>
                <w:color w:val="9C274E"/>
                <w:sz w:val="18"/>
              </w:rPr>
              <w:t>blocked</w:t>
            </w:r>
          </w:p>
        </w:tc>
      </w:tr>
      <w:tr>
        <w:tc>
          <w:tcPr>
            <w:tcW w:type="dxa" w:w="5100"/>
            <w:shd w:val="clear" w:color="auto" w:fill="F4F6F9"/>
          </w:tcPr>
          <w:p>
            <w:pPr>
              <w:spacing w:after="20"/>
            </w:pPr>
            <w:r>
              <w:rPr>
                <w:sz w:val="19"/>
              </w:rPr>
              <w:t>Client-side “are you sure?” on writes</w:t>
            </w:r>
          </w:p>
        </w:tc>
        <w:tc>
          <w:tcPr>
            <w:tcW w:type="dxa" w:w="5100"/>
            <w:shd w:val="clear" w:color="auto" w:fill="F4F6F9"/>
          </w:tcPr>
          <w:p>
            <w:pPr>
              <w:spacing w:after="20"/>
            </w:pPr>
            <w:r>
              <w:rPr>
                <w:sz w:val="19"/>
              </w:rPr>
              <w:t>Server-side caller-scoped discovery (</w:t>
            </w:r>
            <w:r>
              <w:rPr>
                <w:rFonts w:ascii="Consolas" w:hAnsi="Consolas"/>
                <w:color w:val="9C274E"/>
                <w:sz w:val="18"/>
              </w:rPr>
              <w:t>_meta.agentswitch.discovery: "caller"</w:t>
            </w:r>
            <w:r>
              <w:rPr>
                <w:sz w:val="19"/>
              </w:rPr>
              <w:t xml:space="preserve">) — </w:t>
            </w:r>
            <w:r>
              <w:rPr>
                <w:rFonts w:ascii="Consolas" w:hAnsi="Consolas"/>
                <w:color w:val="9C274E"/>
                <w:sz w:val="18"/>
              </w:rPr>
              <w:t>tools/list</w:t>
            </w:r>
            <w:r>
              <w:rPr>
                <w:sz w:val="19"/>
              </w:rPr>
              <w:t xml:space="preserve"> only returns what this seat’s roles allow</w:t>
            </w:r>
          </w:p>
        </w:tc>
      </w:tr>
      <w:tr>
        <w:tc>
          <w:tcPr>
            <w:tcW w:type="dxa" w:w="5100"/>
          </w:tcPr>
          <w:p>
            <w:pPr>
              <w:spacing w:after="20"/>
            </w:pPr>
            <w:r>
              <w:rPr>
                <w:sz w:val="19"/>
              </w:rPr>
              <w:t>Privacy as a ticket queue</w:t>
            </w:r>
          </w:p>
        </w:tc>
        <w:tc>
          <w:tcPr>
            <w:tcW w:type="dxa" w:w="5100"/>
          </w:tcPr>
          <w:p>
            <w:pPr>
              <w:spacing w:after="20"/>
            </w:pPr>
            <w:r>
              <w:rPr>
                <w:sz w:val="19"/>
              </w:rPr>
              <w:t xml:space="preserve">Runtime DSAR: </w:t>
            </w:r>
            <w:r>
              <w:rPr>
                <w:rFonts w:ascii="Consolas" w:hAnsi="Consolas"/>
                <w:color w:val="9C274E"/>
                <w:sz w:val="18"/>
              </w:rPr>
              <w:t>PrivacyRequest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9C274E"/>
                <w:sz w:val="18"/>
              </w:rPr>
              <w:t>endpoint.agent_governance.privacy.forget.preview</w:t>
            </w:r>
            <w:r>
              <w:rPr>
                <w:sz w:val="19"/>
              </w:rPr>
              <w:t xml:space="preserve"> with blast radius before delete</w:t>
            </w:r>
          </w:p>
        </w:tc>
      </w:tr>
      <w:tr>
        <w:tc>
          <w:tcPr>
            <w:tcW w:type="dxa" w:w="5100"/>
            <w:shd w:val="clear" w:color="auto" w:fill="F4F6F9"/>
          </w:tcPr>
          <w:p>
            <w:pPr>
              <w:spacing w:after="20"/>
            </w:pPr>
            <w:r>
              <w:rPr>
                <w:sz w:val="19"/>
              </w:rPr>
              <w:t>Pipeline fields a human typed (</w:t>
            </w:r>
            <w:r>
              <w:rPr>
                <w:rFonts w:ascii="Consolas" w:hAnsi="Consolas"/>
                <w:color w:val="9C274E"/>
                <w:sz w:val="18"/>
              </w:rPr>
              <w:t>probability</w:t>
            </w:r>
            <w:r>
              <w:rPr>
                <w:sz w:val="19"/>
              </w:rPr>
              <w:t>, stage)</w:t>
            </w:r>
          </w:p>
        </w:tc>
        <w:tc>
          <w:tcPr>
            <w:tcW w:type="dxa" w:w="5100"/>
            <w:shd w:val="clear" w:color="auto" w:fill="F4F6F9"/>
          </w:tcPr>
          <w:p>
            <w:pPr>
              <w:spacing w:after="20"/>
            </w:pPr>
            <w:r>
              <w:rPr>
                <w:i/>
                <w:sz w:val="19"/>
              </w:rPr>
              <w:t>(Opening, not yet built)</w:t>
            </w:r>
            <w:r>
              <w:rPr>
                <w:sz w:val="19"/>
              </w:rPr>
              <w:t xml:space="preserve"> Walk an </w:t>
            </w:r>
            <w:r>
              <w:rPr>
                <w:b/>
                <w:sz w:val="19"/>
              </w:rPr>
              <w:t>observed</w:t>
            </w:r>
            <w:r>
              <w:rPr>
                <w:sz w:val="19"/>
              </w:rPr>
              <w:t xml:space="preserve"> relationship graph at deal time — buying committee, warm path, champion decay — with every edge traceable via the ledger. Schema seed exists (</w:t>
            </w:r>
            <w:r>
              <w:rPr>
                <w:rFonts w:ascii="Consolas" w:hAnsi="Consolas"/>
                <w:color w:val="9C274E"/>
                <w:sz w:val="18"/>
              </w:rPr>
              <w:t>PartyRelationship</w:t>
            </w:r>
            <w:r>
              <w:rPr>
                <w:sz w:val="19"/>
              </w:rPr>
              <w:t>, 16 types); capture and traversal are still ours to ship</w:t>
            </w:r>
          </w:p>
        </w:tc>
      </w:tr>
    </w:tbl>
    <w:p>
      <w:pPr>
        <w:spacing w:after="80"/>
      </w:pPr>
    </w:p>
    <w:p>
      <w:r>
        <w:rPr>
          <w:b/>
        </w:rPr>
        <w:t>The line to hold in a buyer conversation:</w:t>
      </w:r>
      <w:r>
        <w:t xml:space="preserve"> competitors sell </w:t>
      </w:r>
      <w:r>
        <w:rPr>
          <w:i/>
        </w:rPr>
        <w:t>pipeline</w:t>
      </w:r>
      <w:r>
        <w:t xml:space="preserve"> intelligence (attributes of a record). We are built to sell </w:t>
      </w:r>
      <w:r>
        <w:rPr>
          <w:i/>
        </w:rPr>
        <w:t>agent</w:t>
      </w:r>
      <w:r>
        <w:t xml:space="preserve"> intelligence (a goal held across mutating state, under policy, with proof). Relationship intelligence on deals is the product differentiator to build next; governance + ledger endpoints are the differentiators already shipped and under-marketed.</w:t>
      </w:r>
    </w:p>
    <w:p>
      <w:r>
        <w:rPr>
          <w:i/>
        </w:rPr>
        <w:t>Rechecked 2026-09-22 against `tools-list.json` (247 tools). Corrections from prior draft: ledger/mission-control tools are `endpoint.job_ledger.</w:t>
      </w:r>
      <w:r>
        <w:rPr>
          <w:rFonts w:ascii="Consolas" w:hAnsi="Consolas"/>
          <w:color w:val="9C274E"/>
          <w:sz w:val="18"/>
        </w:rPr>
        <w:t xml:space="preserve"> / </w:t>
      </w:r>
      <w:r>
        <w:t>endpoint.mission_control.</w:t>
      </w:r>
      <w:r>
        <w:rPr>
          <w:i/>
        </w:rPr>
        <w:t>`; forget preview is `endpoint.agent_governance.privacy.forget.preview`; `AgentPersona.daily_limits` is its own tool; `CallNoteDraft` has no approve path; `hsn_or_sac` lives on line items; storefront `payment.verify` is not CRM AR.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2F549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tools-list.json" TargetMode="External"/><Relationship Id="rId10" Type="http://schemas.openxmlformats.org/officeDocument/2006/relationships/hyperlink" Target="./gap-analysis.md" TargetMode="External"/><Relationship Id="rId11" Type="http://schemas.openxmlformats.org/officeDocument/2006/relationships/hyperlink" Target="./AgentSwitch-Gap-Report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