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2.7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Resolve document-level filters (type, owner, approval date) to a document set; both legs then filter on it inside the query. Filtering after fusion would silently shrink or empty the page.</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Keyword search in MySQL: MATCH(content, heading_path) AGAINST (? IN NATURAL LANGUAGE MODE) over the chunk mirror (ft_chunk_search), same filtered scope, query terms stripped of the custom stopwords. SQLite (tests) falls back to LIKE ranked by distinct terms matched.</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pStyle w:val="ListParagraph"/>
        <w:numPr>
          <w:ilvl w:val="0"/>
          <w:numId w:val="4"/>
        </w:numPr>
        <w:spacing w:after="40" w:before="40"/>
      </w:pPr>
      <w:r>
        <w:rPr>
          <w:rFonts w:ascii="Calibri" w:cs="Calibri" w:eastAsia="Calibri" w:hAnsi="Calibri"/>
          <w:color w:val="1A1A1A"/>
          <w:sz w:val="20"/>
          <w:szCs w:val="20"/>
        </w:rPr>
        <w:t>Conversations (H4). A follow-up such as "and after 60 days?" retrieves nothing on its own, so when there is history the latest message is first rewritten into a standalone search query from the recent questions (a short [condense] call; if its output is unusable, the previous question is carried along instead). Retrieval uses the rewrite; the answer is written to the question as asked, with the recent conversation in the prompt. History is bounded (6 turns, 6,000 characters, 1,500 per turn) and access-checked: an earlier answer is replayed only if the asker can still see every document it cited, so access revoked mid-conversation cannot leak back through the transcript. Refused questions are grouped by meaning for the knowledge-gaps report (FR-614) by embedding each distinct question once and grouping at cosine ≥ 0.8.</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Re-indexing. On approval, delete previous chunks for the document and insert new ones, then upsert vectors. On archive or permission change, chunks are updated or removed in the same transaction as the state change, so there is no window where a removed user still gets answers. Editing an approved document opens a draft revision but does not touch the index: the approved version stays live in search and answers, under its approved title, until the revision is approved. Every ten minutes retrieval:check-index compares the index with the documents that should be in it (doc 04 invariant) and repairs and alerts on any drift.</w:t>
      </w:r>
    </w:p>
    <w:p>
      <w:pPr>
        <w:spacing w:after="140" w:before="60" w:line="276"/>
        <w:jc w:val="left"/>
      </w:pPr>
      <w:r>
        <w:rPr>
          <w:rFonts w:ascii="Calibri" w:cs="Calibri" w:eastAsia="Calibri" w:hAnsi="Calibri"/>
          <w:b/>
          <w:bCs/>
          <w:color w:val="1A1A1A"/>
          <w:sz w:val="20"/>
          <w:szCs w:val="20"/>
        </w:rPr>
        <w:t>Hosting. Qdrant runs self-hosted on one DigitalOcean droplet per environment behind Caddy (TLS, API key required, dashboard blocked), data on a block-storage volume, nightly snapshots to Spaces (infra/qdrant). Isolation never depends on the network: every query carries workspace_id as a must filter. CI runs the vector-store adapter against the pinned Qdrant version on every push, and the whole API suite against MySQL 8.4.</w:t>
      </w:r>
    </w:p>
    <w:p>
      <w:pPr>
        <w:spacing w:after="140" w:before="60" w:line="276"/>
        <w:jc w:val="left"/>
      </w:pPr>
      <w:r>
        <w:rPr>
          <w:rFonts w:ascii="Calibri" w:cs="Calibri" w:eastAsia="Calibri" w:hAnsi="Calibri"/>
          <w:b/>
          <w:bCs/>
          <w:color w:val="1A1A1A"/>
          <w:sz w:val="20"/>
          <w:szCs w:val="20"/>
        </w:rPr>
        <w:t>Billing (K2). The payment provider is still an open decision (§12), so it sits behind App\Billing\BillingProvider like every other vendor: checkout URL, portal URL, plan change (the provider prorates) and webhook parsing. Everything provider-independent is built — the subscriptions row, the plan-change rules (upgrade at once, downgrade at period end, refused while the workspace would exceed the new limits), seat handling, the scheduled-change job and the webhook entry point — and tested with a fake driver. The Null driver answers 501 on self-service changes so support handles them until the provider is chosen; adding the provider means implementing one interface.</w:t>
      </w:r>
    </w:p>
    <w:p>
      <w:pPr>
        <w:spacing w:after="140" w:before="60" w:line="276"/>
        <w:jc w:val="left"/>
      </w:pPr>
      <w:r>
        <w:rPr>
          <w:rFonts w:ascii="Calibri" w:cs="Calibri" w:eastAsia="Calibri" w:hAnsi="Calibri"/>
          <w:b/>
          <w:bCs/>
          <w:color w:val="1A1A1A"/>
          <w:sz w:val="20"/>
          <w:szCs w:val="20"/>
        </w:rPr>
        <w:t>Operations (L3, L4). Product alerts go through one log channel, alerts (config/logging.php): always stderr, which App Platform forwards, and Slack at warning level when LOG_SLACK_WEBHOOK_URL is set. Each alert has a runbook in infra/runbooks (index drift from retrieval:check-index, failed payments, pipeline failure clusters); platform-level alerts (deployment or domain failure) are declared in app.yaml. Model spend is recorded where it is incurred — pipeline_jobs.cost_usd per stage, chat_messages.cost_usd per answer, audit metadata for rewrite and translation — and php artisan ops:cost-report totals it per workspace and per generated SOP against the plan price (BR-32); it is a console command because it crosses every workspace.</w:t>
      </w:r>
    </w:p>
    <w:p>
      <w:pPr>
        <w:spacing w:after="140" w:before="60" w:line="276"/>
        <w:jc w:val="left"/>
      </w:pPr>
      <w:r>
        <w:rPr>
          <w:rFonts w:ascii="Calibri" w:cs="Calibri" w:eastAsia="Calibri" w:hAnsi="Calibri"/>
          <w:b/>
          <w:bCs/>
          <w:color w:val="1A1A1A"/>
          <w:sz w:val="20"/>
          <w:szCs w:val="20"/>
        </w:rPr>
        <w:t>Delivery (M2, M3). CI runs on every push: style, static analysis, the suite on SQLite and on MySQL 8.4 (tenancy included), the vector-store adapter against the pinned Qdrant, a migration rollback drill (fresh → rollback → migrate → reset → migrate) and a check that the staging and production App Platform specs have not drifted apart. A green run on main deploys staging by pushing infra/do/app.yaml with doctl, stamping the commit as the Sentry release; production is the same commit promoted from infra/do/app.production.yaml behind a GitHub environment gate with required reviewers. Migrations run as the pre-deploy job, so a failed migration fails the deployment and the previous release keeps serving. Runbooks for provisioning, deploying and rolling back are in infra/runbooks.</w:t>
      </w:r>
    </w:p>
    <w:p>
      <w:pPr>
        <w:spacing w:after="140" w:before="60" w:line="276"/>
        <w:jc w:val="left"/>
      </w:pPr>
      <w:r>
        <w:rPr>
          <w:rFonts w:ascii="Calibri" w:cs="Calibri" w:eastAsia="Calibri" w:hAnsi="Calibri"/>
          <w:b/>
          <w:bCs/>
          <w:color w:val="1A1A1A"/>
          <w:sz w:val="20"/>
          <w:szCs w:val="20"/>
        </w:rPr>
        <w:t>Observability (M4). Unhandled exceptions go to Sentry from Laravel and Angular, tagged with the release (commit) and environment; the Angular SDK is loaded lazily only when a DSN is baked in at build time. Every pipeline stage writes one JSON line per event (started, succeeded, failed) to stdout with workspace, recording, stage, attempt, duration and cost. GET /internal/metrics (bearer token) exposes Prometheus metrics computed from the tables — stage success rate and p50/p95, cost per generated SOP, embedding backlog, assistant refusal rate and latency — with a Grafana dashboard and alert rules in infra/monitoring; ops:check-health raises the same conditions on the alerts channel every ten minutes for deployments without a scraper.</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