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2.5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  <w:br/>
        <w:t xml:space="preserve">  deletion_scheduled_at timestamp null,  -- S23: deletion is scheduled with a grace period; workspaces:purge-scheduled removes the row (and cascades) after it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notification_prefs json null,          -- S24: per-workspace email preferences; null = defaults. In-app notifications are always delivered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space_ids     json null,                  -- spaces joined on acceptance (S3); added in code 18 Sep 2026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token_hash stores a SHA-256 of the invite token, never the token itself. The raw value exists only in the emailed link. space_ids carries the spaces an invitee joins on acceptance, because screen S3 assigns spaces at invitation time.</w:t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folder_permissions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enum('none','approver','editor','reader','guest')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set_by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uq_folder_perm (folder_id,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ix_folder_perm_user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fk_fp_folder foreign key (folder_id)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fk_fp_user   foreign key (user_id)   references users(id)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fk_fp_setby  foreign key (set_by)    references users(id)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Folder-level override of the space role (FR-206). 'none' denies a user a folder its space would otherwise show.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Effective role: folder_permissions on the nearest ancestor &gt; space_members &gt; workspace_members; admins bypass. Inherited by subfolders.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  <w:br/>
        <w:t xml:space="preserve">  handbook_position   int unsigned null,        -- FR-701: reading order set by the space owner; null = after ordered items, by title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>The sentinel is the safer choice and is what the migration uses: version_id is char(26) not null default '0', and the working copy's steps carry '0'. Approval copies the rows under the new version's id.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acknowledgement_targets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assigned_by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uq_ack_target (document_id,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ix_ack_target_user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fk_at_doc 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fk_at_user foreign key (user_id)     references users(id)   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Who must acknowledge a document (FR-702). Version-independent: the record below is per version, so a new approval leaves every target outstanding (FR-704).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create table document_reads (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id            char(26) not null primary key,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workspace_id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document_id 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user_id     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read_on       date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created_at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updated_at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unique key uq_doc_read_day (document_id, user_id, read_on),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key ix_doc_read_ws_day (workspace_id, read_on),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constraint fk_dr_doc  foreign key (document_id) references documents(id) on delete cascade,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constraint fk_dr_user foreign key (user_id)     references users(id)     on delete cascade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) engine=InnoDB;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-- One row per person per document per day, written when the published view is served (S20 "Most-read documents"). Analytics, not audit.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In code the primary key is Laravel's bigint auto-increment id (not a ULID), the model has no updated_at, and every write goes through Audit::record(); there is no update or delete path in the application.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spaces, space_members, folders, folder_permissions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approvals, acknowledgement_targets, acknowledgements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document_reads, chat_sessions, chat_messages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