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0"/>
      </w:pPr>
    </w:p>
    <w:p>
      <w:pPr>
        <w:spacing w:after="200"/>
      </w:pPr>
      <w:r>
        <w:rPr>
          <w:rFonts w:ascii="Calibri" w:cs="Calibri" w:eastAsia="Calibri" w:hAnsi="Calibri"/>
          <w:b/>
          <w:bCs/>
          <w:color w:val="6B6B6B"/>
          <w:spacing w:val="60"/>
          <w:sz w:val="18"/>
          <w:szCs w:val="18"/>
        </w:rPr>
        <w:t xml:space="preserve">FLOWZAPP</w:t>
      </w:r>
    </w:p>
    <w:p>
      <w:pPr>
        <w:spacing w:after="160"/>
      </w:pPr>
      <w:r>
        <w:rPr>
          <w:rFonts w:ascii="Calibri Light" w:cs="Calibri Light" w:eastAsia="Calibri Light" w:hAnsi="Calibri Light"/>
          <w:b/>
          <w:bCs/>
          <w:color w:val="1E2761"/>
          <w:sz w:val="52"/>
          <w:szCs w:val="52"/>
        </w:rPr>
        <w:t xml:space="preserve">Database Schema</w:t>
      </w:r>
    </w:p>
    <w:p>
      <w:pPr>
        <w:pBdr>
          <w:top w:val="single" w:color="D4D4D4" w:sz="6" w:space="12"/>
        </w:pBdr>
        <w:spacing w:after="200" w:before="160"/>
      </w:pPr>
      <w:r>
        <w:rPr>
          <w:rFonts w:ascii="Calibri" w:cs="Calibri" w:eastAsia="Calibri" w:hAnsi="Calibri"/>
          <w:color w:val="6B6B6B"/>
          <w:sz w:val="24"/>
          <w:szCs w:val="24"/>
        </w:rPr>
        <w:t>MySQL 8.4 DDL, tenancy enforcement and migration order</w:t>
      </w:r>
    </w:p>
    <w:p>
      <w:r>
        <w:rPr>
          <w:rFonts w:ascii="Calibri" w:cs="Calibri" w:eastAsia="Calibri" w:hAnsi="Calibri"/>
          <w:color w:val="6B6B6B"/>
          <w:sz w:val="20"/>
          <w:szCs w:val="20"/>
        </w:rPr>
        <w:t>Version 2.4  ·  Project documentation  ·  2026</w:t>
      </w:r>
    </w:p>
    <w:p>
      <w:r>
        <w:br w:type="page"/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0. Migration notes from v1.0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93"/>
        <w:gridCol w:w="3488"/>
        <w:gridCol w:w="4179"/>
      </w:tblGrid>
      <w:tr>
        <w:trPr>
          <w:tblHeader/>
        </w:trP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v1.0 (PostgreSQL)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v2.0 (MySQL 8.4)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Consequence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uuid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gen_random_uuid()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char(26)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ULID, generated by Laravel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Monotonic, so clustered-index inserts stay sequential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jsonb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 index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json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generated columns + functional indexes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Anything queried inside JSON needs an explicit generated column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create type … as enum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enum(...)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inline, or lookup table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Adding a value is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ALTER TABLE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; instant when appended last in 8.0+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tsvector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+ GIN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FULLTEXT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index on a materialised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body_text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column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Weaker ranking control — see architecture §6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bigserial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bigint unsigned auto_increment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—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varbinary(16)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Store via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INET6_ATON()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timestamptz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timestamp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with the session in UTC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time_zone = '+00:00'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on the connection</w:t>
            </w:r>
          </w:p>
        </w:tc>
      </w:tr>
      <w:tr>
        <w:tc>
          <w:tcPr>
            <w:tcW w:type="dxa" w:w="16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Row-Level Security</w:t>
            </w:r>
          </w:p>
        </w:tc>
        <w:tc>
          <w:tcPr>
            <w:tcW w:type="dxa" w:w="34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None — application layer</w:t>
            </w:r>
          </w:p>
        </w:tc>
        <w:tc>
          <w:tcPr>
            <w:tcW w:type="dxa" w:w="4179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See §7. This is the consequential change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Engine and collation for every table: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ENGINE=InnoDB DEFAULT CHARSET=utf8mb4 COLLATE=utf8mb4_0900_ai_ci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Conventions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char(26)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ULID primary keys, generated in PHP (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Str::ulid()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), never by the database.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Every tenant-scoped table carries `workspace_id`.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It is the first column of most composite indexes and the anchor for application-layer scoping.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created_at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/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— Laravel's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timestamps()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Soft delete via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deleted_at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where history matters; hard delete only for media.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Document content 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never HTML.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declared with explicit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ON DELETE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behaviour. MySQL enforces them under InnoDB; do not rely on application-only integrity.</w:t>
      </w:r>
    </w:p>
    <w:p>
      <w:pPr>
        <w:pBdr>
          <w:bottom w:val="single" w:color="D4D4D4" w:sz="6" w:space="1"/>
        </w:pBdr>
        <w:spacing w:after="200" w:before="120"/>
      </w:pP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Core tenancy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slug          varchar(80)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plan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settings      json not null,</w:t>
        <w:br/>
        <w:t xml:space="preserve">  deletion_scheduled_at timestamp null,  -- S23: deletion is scheduled with a grace period; workspaces:purge-scheduled removes the row (and cascades) after it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uq_workspaces_slug (slug)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email_verified_at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password      varchar(255) null,          -- null when magic-link only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locale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avatar_path   varchar(255)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remember_token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uq_users_email (email)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notification_prefs json null,          -- S24: per-workspace email preferences; null = defaults. In-app notifications are always delivered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invited_by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joined_at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uq_ws_member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ix_ws_member_user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fk_wsm_ws   foreign key (workspace_id) references workspaces(id)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fk_wsm_user foreign key (user_id)      references users(id)   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fk_wsm_inv  foreign key (invited_by)   references users(id)   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workspace_invites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email         varchar(190)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'editor',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token_hash    char(64)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space_ids     json null,                  -- spaces joined on acceptance (S3); added in code 18 Sep 2026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expires_at   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accepted_at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revoked_at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uq_invite_token (token_hash),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ix_invite_ws_email (workspace_id, email),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fk_inv_ws foreign key (workspace_id) references workspaces(id)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token_hash stores a SHA-256 of the invite token, never the token itself. The raw value exists only in the emailed link. space_ids carries the spaces an invitee joins on acceptance, because screen S3 assigns spaces at invitation time.</w:t>
      </w:r>
      <w:r>
        <w:rPr>
          <w:rFonts w:ascii="Calibri" w:cs="Calibri" w:eastAsia="Calibri" w:hAnsi="Calibri"/>
          <w:color w:val="1A1A1A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Spaces, folders, documents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description 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is_handbook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uq_space_name (workspace_id, name),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fk_space_ws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space_members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enum('admin','approver','editor','reader','guest') not null default 'reader',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uq_space_member (space_id,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ix_space_member_user (user_id),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ix_space_member_ws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fk_sm_space foreign key (space_id) references spaces(id)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fk_sm_user  foreign key (user_id)  references users(id)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folders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parent_id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name          varchar(120)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depth         tinyint unsigned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ix_folder_tree (workspace_id, space_id, parent_id),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fk_folder_parent foreign key (parent_id)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ck_folder_depth  check (depth &lt;= 5)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folder_permissions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enum('none','approver','editor','reader','guest')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set_by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uq_folder_perm (folder_id,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ix_folder_perm_user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fk_fp_folder foreign key (folder_id) references folders(id)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fk_fp_user   foreign key (user_id)   references users(id) 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fk_fp_setby  foreign key (set_by)    references users(id) 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Folder-level override of the space role (FR-206). 'none' denies a user a folder its space would otherwise show.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Effective role: folder_permissions on the nearest ancestor &gt; space_members &gt; workspace_members; admins bypass. Inherited by subfolders.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folder_id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doc_type            enum('sop','policy','handbook_page','note') not null default 'sop',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     enum('draft','in_review','approved','archived') not null default 'draft',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owner_id  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created_by   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    mediumtext null,       -- flattened plain text, maintained on save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approved_version_id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requires_ack        tinyint(1) not null default 0,</w:t>
        <w:br/>
        <w:t xml:space="preserve">  handbook_position   int unsigned null,        -- FR-701: reading order set by the space owner; null = after ordered items, by title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review_due_at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       varchar(10) not null default 'en',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translation_of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translation_stale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deleted_at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ix_doc_scope  (workspace_id, 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ix_doc_folder (folder_id),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ix_doc_owner  (owner_id),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ix_doc_review (workspace_id, review_due_at),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fulltext key ft_doc_search (title, body_text),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fk_doc_space  foreign key (space_id)  references spaces(id) 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fk_doc_folder foreign key (folder_id) references folders(id)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fk_doc_owner  foreign key (owner_id)  references users(id)  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fk_doc_trans  foreign key (translation_of) references documents(id) on delete set null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things here differ meaningfully from v1.0.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`body_text` is new and is not redundant.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Postgres could index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tsvector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derived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jsonb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cannot build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over 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column, so the plain text has to be materialised into a real column. It is written by the application on every save — flatten the content blocks to text — and is the only column,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title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that full-text search reads. If it drifts from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search silently goes stale, so the flattening belongs in one place: a model observer, not a controller.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`documents.content` remains the working copy.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 approved content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for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That split is what lets an approved document stay published while a new draft is edited.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Steps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Steps are rows as well as content, because chunking, citation deep links and checkpoint state all need to address a step by ID.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document_steps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null,             -- null = working draft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instruction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note    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expected_result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is_critical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is_checkpoint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media_asset_id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source_ts_start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source_ts_end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verified_at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uq_step_pos (document_id, version_id,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ix_step_doc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fk_step_doc foreign key (document_id) references documents(id)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verified_at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new in v2.0, supporting the draft-review gate: submit stays blocked until every step is verified or edited.</w:t>
      </w:r>
    </w:p>
    <w:p>
      <w:pPr>
        <w:pBdr>
          <w:left w:val="single" w:color="1E2761" w:sz="12" w:space="12"/>
        </w:pBdr>
        <w:spacing w:after="160" w:before="120"/>
        <w:ind w:left="360"/>
      </w:pPr>
      <w:r>
        <w:rPr>
          <w:rFonts w:ascii="Calibri" w:cs="Calibri" w:eastAsia="Calibri" w:hAnsi="Calibri"/>
          <w:b/>
          <w:bCs/>
          <w:i/>
          <w:iCs/>
          <w:color w:val="6B6B6B"/>
          <w:sz w:val="20"/>
          <w:szCs w:val="20"/>
        </w:rPr>
        <w:t>The sentinel is the safer choice and is what the migration uses: version_id is char(26) not null default '0', and the working copy's steps carry '0'. Approval copies the rows under the new version's id.</w:t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  <w:r>
        <w:rPr>
          <w:rFonts w:ascii="Consolas" w:cs="Consolas" w:eastAsia="Consolas" w:hAnsi="Consolas"/>
          <w:i/>
          <w:iCs/>
          <w:color w:val="6B6B6B"/>
          <w:sz w:val="18"/>
          <w:szCs w:val="18"/>
          <w:shd w:fill="F4F5F7" w:val="clear"/>
        </w:rPr>
      </w:r>
      <w:r>
        <w:rPr>
          <w:rFonts w:ascii="Calibri" w:cs="Calibri" w:eastAsia="Calibri" w:hAnsi="Calibri"/>
          <w:i/>
          <w:iCs/>
          <w:color w:val="6B6B6B"/>
          <w:sz w:val="20"/>
          <w:szCs w:val="20"/>
        </w:rPr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Versioning and approvals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document_versions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version_number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 varchar(250)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  json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body_text       mediumtext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change_summary 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authored_by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approved_at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uq_version_no (document_id, version_number),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ix_version_ws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fk_ver_doc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fk_doc_approved_version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(approved_version_id) references document_versions(id)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fk_doc_source_recording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foreign key (source_recording_id) references recordings(id) on delete set null;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approvals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requested_by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reviewer_id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from_state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to_state      enum('draft','in_review','approved','archived')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comment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ix_appr_doc (document_id,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fk_appr_doc foreign key (document_id) references documents(id)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create table acknowledgement_targets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assigned_by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uq_ack_target (document_id,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ix_ack_target_user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fk_at_doc 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fk_at_user foreign key (user_id)     references users(id)   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-- Who must acknowledge a document (FR-702). Version-independent: the record below is per version, so a new approval leaves every target outstanding (FR-704).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acknowledgements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acknowledged_at timestamp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uq_ack (version_id,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ix_ack_ws_user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fk_ack_ver  foreign key (version_id) references document_versions(id)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fk_ack_user foreign key (user_id)    references users(id)            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Acknowledgement is unique per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version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not per document. That is what makes a new publish re-trigger it.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`version_number` assignment.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v1.0 used a Postgres trigger. In MySQL, do it in the application inside the approval transaction: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 max(version_number) … for update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insert. The row lock plus the unique key make concurrent approvals safe — the loser gets a duplicate-key error and retries, which is correct behaviour rather than a bug.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Recordings and the pipeline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uploaded_by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  varchar(500) not null,      -- {workspace_id}/{recording_id}/source.webm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duration_sec   decimal(10,3)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state          enum('uploaded','transcribing','segmenting','generating','draft_ready','failed')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             not null default 'uploaded',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failure_reason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ix_rec_scope (workspace_id, state),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fk_rec_space foreign key (space_id)    references spaces(id) on delete set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fk_rec_user  foreign key (uploaded_by) references users(id)  on delete set null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transcripts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language     varchar(10)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full_text    longtext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words        json null,                    -- [{w, start, end, conf}]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     varchar(50) null,             -- which transcription driver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uq_transcript_rec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fk_trans_rec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recording_segments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position       int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ts_start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ts_end         decimal(10,3)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summary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confidence     decimal(5,4)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frame_asset_id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uq_seg_pos (recording_id, position),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fk_seg_rec foreign key (recording_id) references recordings(id)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media_assets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kind         enum('frame','image','attachment','video')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storage_key  varchar(500)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mime_type    varchar(100)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size_bytes   bigint unsigned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width 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height   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ix_media_doc (workspace_id, document_id),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ix_media_rec (recording_id),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fk_media_rec foreign key (recording_id) references recordings(id)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fk_media_doc foreign key (document_id)  references documents(id) 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pipeline_jobs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recording_id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stage        enum('transcribe','segment','frames','generate','embed')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job_key      varchar(191)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enum('queued','running','succeeded','failed') not null default 'queued',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attempts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cost_usd     decimal(10,5)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error        text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started_at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finished_at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uq_job_key (job_key),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ix_job_status (status, stage)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job_key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varchar(191)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varchar(255)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so the unique index stays within InnoDB's 3072-byte limit under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utf8mb4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room to spare.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provider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cost_usd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new: with providers now swappable behind drivers, knowing which one produced a given transcript and what it cost is how the driver choice gets evaluated on evidence.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Laravel's own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job_batches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tables are not reproduced here. With Valkey as the queue driver, only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lives in MySQL.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Retrieval index mirror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Vectors live in the external index. This table is the authoritative record of what </w:t>
      </w:r>
      <w:r>
        <w:rPr>
          <w:rFonts w:ascii="Calibri" w:cs="Calibri" w:eastAsia="Calibri" w:hAnsi="Calibri"/>
          <w:i/>
          <w:iCs/>
          <w:color w:val="1A1A1A"/>
          <w:sz w:val="20"/>
          <w:szCs w:val="20"/>
        </w:rPr>
        <w:t xml:space="preserve">should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be indexed, so drift is detectable.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document_chunks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space_id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version_id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section_ref  varchar(60) not null,         -- 'step:7', 'section:purpose'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heading_path varchar(500)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token_count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vector_id    varchar(120) null,            -- id in the external index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embed_model  varchar(60) null,             -- which embeddings model produced this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indexed_at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ix_chunk_doc   (document_id, version_id),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ix_chunk_scope (workspace_id, 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ix_chunk_stale (workspace_id, indexed_at),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fk_chunk_doc foreign key (document_id) references documents(id) on delete cascade,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fk_chunk_ver foreign key (version_id)  references document_versions(id)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Correctness invariant: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every document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state = 'approved'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must have chunks for 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indexed_at is 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Anything else is an alerting condition, not a warning.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embed_model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matters because changing embeddings provider invalidates every existing vector. Recording the model per chunk makes a re-embed migration targetable instead of a full rebuild.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Chat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chat_sessions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user_id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title        varchar(250)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ix_chat_ws_user (workspace_id, user_id),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fk_cs_user foreign key (user_id) references users(id)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chat_messages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session_id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role          enum('user','assistant')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content       mediumtext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citations     json null,                   -- [{document_id, version_id, section_ref, score}]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refused       tinyint(1)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latency_ms    int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rated_helpful tinyint(1)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ix_msg_session (session_id,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ix_msg_refused (workspace_id, refused,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fk_cm_session foreign key (session_id) references chat_sessions(id) on delete cascade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rated_helpful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are product metrics, not debug fields — they feed the trust KPIs and the knowledge-gaps report.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ix_msg_refused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exists specifically so that report stays cheap as volume grows.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Billing, usage, audit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subscriptions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        char(26) not null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tier                 enum('free','pro','team') not null default 'free',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seats                int not null default 3,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provider_customer_id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provider_sub_id      varchar(120)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status               varchar(40) not null default 'active',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current_period_end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unique key uq_sub_ws (workspace_id),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fk_sub_ws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usage_counters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     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period_start       date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documents_count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recordings_minutes decimal(12,2)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sop_generations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chat_queries       int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llm_cost_usd       decimal(12,5) not null default 0,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updated_at      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primary key (workspace_id, period_start),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constraint fk_usage_ws foreign key (workspace_id) references workspaces(id) on delete cascade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create table audit_log (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id           bigint unsigned not null auto_increment primary key,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workspace_id char(26)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actor_id 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action       varchar(80) not null,         -- 'document.approved', 'member.role_changed'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entity_type  varchar(60) not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entity_id    char(26)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metadata     json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ip           varbinary(16) null,           -- INET6_ATON()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created_at   timestamp null,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ix_audit_ws  (workspace_id, created_at),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key ix_audit_ent (entity_type, entity_id)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) engine=InnoDB;</w:t>
      </w:r>
    </w:p>
    <w:p>
      <w:pPr>
        <w:spacing w:after="140" w:before="60" w:line="276"/>
        <w:jc w:val="left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has no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updated_at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by design, and the application database user is granted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INSERT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SELECT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on it only: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revoke update, delete on sop_app.audit_log from 'app_user'@'%';</w:t>
      </w:r>
    </w:p>
    <w:p>
      <w:pPr>
        <w:shd w:fill="F4F5F7" w:val="clear"/>
        <w:spacing w:after="14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>In code the primary key is Laravel's bigint auto-increment id (not a ULID), the model has no updated_at, and every write goes through Audit::record(); there is no update or delete path in the application.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DigitalOcean managed MySQL permits per-table grants for non-admin users, so this is enforceable. It is not a substitute for not writing update code, but it is the backstop.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Querying inside JSON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cannot index a whole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json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column. Anything filtered or sorted on needs a generated column: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documents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column content_block_count int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  generated always as (json_length(content, '$.blocks')) stored,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key ix_doc_blocks (content_block_count);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Use this sparingly. If a value is queried often enough to need an index, it usually belongs in a real column — which is exactly why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body_text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a plain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mediumtext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rather than a generated column over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content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Full-text search configuration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session must be UTC for timestamp correctness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set time_zone = '+00:00';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Two server parameters need setting in the DigitalOcean managed cluster before the full-text index is built, because changing them later requires rebuilding it: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74"/>
        <w:gridCol w:w="752"/>
        <w:gridCol w:w="793"/>
        <w:gridCol w:w="5141"/>
      </w:tblGrid>
      <w:tr>
        <w:trPr>
          <w:tblHeader/>
        </w:trP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Parameter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Default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Set to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innodb_ft_min_token_size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3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2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Short acronyms ("PO", "QA", "HR") are common in procedure text and unsearchable at the default</w:t>
            </w:r>
          </w:p>
        </w:tc>
      </w:tr>
      <w:tr>
        <w:tc>
          <w:tcPr>
            <w:tcW w:type="dxa" w:w="2674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innodb_ft_server_stopword_table</w:t>
            </w:r>
          </w:p>
        </w:tc>
        <w:tc>
          <w:tcPr>
            <w:tcW w:type="dxa" w:w="75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built-in</w:t>
            </w:r>
          </w:p>
        </w:tc>
        <w:tc>
          <w:tcPr>
            <w:tcW w:type="dxa" w:w="793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custom table</w:t>
            </w:r>
          </w:p>
        </w:tc>
        <w:tc>
          <w:tcPr>
            <w:tcW w:type="dxa" w:w="5141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The default list strips words that carry meaning in procedures — "before", "after", "not", "must"</w:t>
            </w:r>
          </w:p>
        </w:tc>
      </w:tr>
    </w:tbl>
    <w:p>
      <w:pPr>
        <w:spacing w:after="160"/>
      </w:pP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custom stopword table must exist and be populated before the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FULLTEXT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index is created.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7. Tenancy enforcement — replacing RLS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v1.0 enforced isolation with Postgres RLS policies.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MySQL has no equivalent, so this section replaces them entirely.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The architecture document covers the reasoning; this is the schema-side contract.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7.1 What the schema guarantees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Every tenant-scoped table has a non-null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leads the primary lookup index on every such table, so a correctly scoped query is also the fast query.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Foreign keys prevent a row referencing a parent in another workspace </w:t>
      </w: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only transitively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MySQL will not check that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matches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That last point is a genuine gap. Close it with a check constraint where the parent is stable, and with a model observer otherwise:</w:t>
      </w:r>
    </w:p>
    <w:p>
      <w:pPr>
        <w:shd w:fill="F4F5F7" w:val="clear"/>
        <w:spacing w:after="0" w:before="10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-- example: guarantee a step cannot claim a different workspace than its document</w:t>
      </w:r>
    </w:p>
    <w:p>
      <w:pPr>
        <w:shd w:fill="F4F5F7" w:val="clear"/>
        <w:spacing w:after="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alter table document_steps</w:t>
      </w:r>
    </w:p>
    <w:p>
      <w:pPr>
        <w:shd w:fill="F4F5F7" w:val="clear"/>
        <w:spacing w:after="140" w:before="0" w:line="240"/>
        <w:ind w:left="200" w:right="200"/>
      </w:pPr>
      <w:r>
        <w:rPr>
          <w:rFonts w:ascii="Consolas" w:cs="Consolas" w:eastAsia="Consolas" w:hAnsi="Consolas"/>
          <w:color w:val="24292F"/>
          <w:sz w:val="16"/>
          <w:szCs w:val="16"/>
        </w:rPr>
        <w:t xml:space="preserve">  add constraint ck_step_ws check (workspace_id is not null);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MySQL 8.4 check constraints cannot reference another table, so cross-table workspace consistency is asserted in tests, not in the schema. The conformance test in §7.3 covers it.</w:t>
      </w: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7.2 What the application must guarantee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88"/>
        <w:gridCol w:w="6072"/>
      </w:tblGrid>
      <w:tr>
        <w:trPr>
          <w:tblHeader/>
        </w:trP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Rule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EDF1F5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b/>
                <w:bCs/>
                <w:color w:val="1A1A1A"/>
                <w:sz w:val="20"/>
                <w:szCs w:val="20"/>
              </w:rPr>
              <w:t xml:space="preserve">Mechanism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Reads are workspace-scoped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TenantModel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global scope on every tenant model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Writes set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from context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Model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creating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 hook; request payload value ignored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No raw unscoped queries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Static analysis rule, with an explicit allowlist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Space-level access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shd w:fill="FAFBFC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Laravel Policies, evaluated per document</w:t>
            </w:r>
          </w:p>
        </w:tc>
      </w:tr>
      <w:tr>
        <w:tc>
          <w:tcPr>
            <w:tcW w:type="dxa" w:w="3288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Retrieval scoped independently</w:t>
            </w:r>
          </w:p>
        </w:tc>
        <w:tc>
          <w:tcPr>
            <w:tcW w:type="dxa" w:w="6072"/>
            <w:tcBorders>
              <w:top w:val="single" w:color="D4D4D4" w:sz="2"/>
              <w:left w:val="single" w:color="D4D4D4" w:sz="2"/>
              <w:bottom w:val="single" w:color="D4D4D4" w:sz="2"/>
              <w:right w:val="single" w:color="D4D4D4" w:sz="2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40" w:before="40"/>
              <w:jc w:val="left"/>
            </w:pP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Vector index metadata filter on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workspace_id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space_id</w:t>
            </w:r>
            <w:r>
              <w:rPr>
                <w:rFonts w:ascii="Calibri" w:cs="Calibri" w:eastAsia="Calibri" w:hAnsi="Calibri"/>
                <w:color w:val="1A1A1A"/>
                <w:sz w:val="20"/>
                <w:szCs w:val="20"/>
              </w:rPr>
              <w:t xml:space="preserve">, </w:t>
            </w:r>
            <w:r>
              <w:rPr>
                <w:rFonts w:ascii="Consolas" w:cs="Consolas" w:eastAsia="Consolas" w:hAnsi="Consolas"/>
                <w:color w:val="0B3D2E"/>
                <w:sz w:val="18"/>
                <w:szCs w:val="18"/>
                <w:shd w:fill="F4F5F7" w:val="clear"/>
              </w:rPr>
              <w:t xml:space="preserve">state</w:t>
            </w:r>
          </w:p>
        </w:tc>
      </w:tr>
    </w:tbl>
    <w:p>
      <w:pPr>
        <w:spacing w:after="160"/>
      </w:pPr>
    </w:p>
    <w:p>
      <w:pPr>
        <w:pStyle w:val="Heading3"/>
        <w:spacing w:after="100" w:before="240"/>
      </w:pPr>
      <w:r>
        <w:rPr>
          <w:rFonts w:ascii="Calibri" w:cs="Calibri" w:eastAsia="Calibri" w:hAnsi="Calibri"/>
          <w:b/>
          <w:bCs/>
          <w:color w:val="1A1A1A"/>
          <w:sz w:val="23"/>
          <w:szCs w:val="23"/>
        </w:rPr>
        <w:t xml:space="preserve">7.3 The conformance test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single test enumerates the live schema and asserts, for every table not on the global allowlist: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column exists and is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not null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an index exists with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as its first column;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a corresponding Eloquent model exists and extends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TenantModel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;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its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is not in the model's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$fillable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 xml:space="preserve">This test is the replacement for RLS and must never be skipped to unblock a release.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Under RLS a missing filter returned nothing; here a missing scope returns every tenant's rows. The failure mode inverted, so the test carries the weight the database used to.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The global allowlist is short and every entry needs justification in review: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migrations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failed_jobs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password_reset_tokens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personal_access_tokens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the custom stopword table.</w:t>
      </w:r>
    </w:p>
    <w:p>
      <w:pPr>
        <w:pStyle w:val="Heading2"/>
        <w:spacing w:after="140" w:before="320"/>
      </w:pPr>
      <w:r>
        <w:rPr>
          <w:rFonts w:ascii="Calibri Light" w:cs="Calibri Light" w:eastAsia="Calibri Light" w:hAnsi="Calibri Light"/>
          <w:b/>
          <w:bCs/>
          <w:color w:val="1E2761"/>
          <w:sz w:val="28"/>
          <w:szCs w:val="28"/>
        </w:rPr>
        <w:t xml:space="preserve">Migration order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Laravel migrations, in this sequence: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workspace_members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workspace_invites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spaces, space_members, folders, folder_permissions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then the two deferred foreign keys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document_steps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transcripts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recording_segments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media_assets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pipeline_jobs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document_chunks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>approvals, acknowledgement_targets, acknowledgements</w:t>
      </w:r>
      <w:r>
        <w:rPr>
          <w:rFonts w:ascii="Calibri" w:cs="Calibri" w:eastAsia="Calibri" w:hAnsi="Calibri"/>
          <w:color w:val="1A1A1A"/>
          <w:sz w:val="20"/>
          <w:szCs w:val="20"/>
        </w:rPr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chat_sessions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chat_messages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subscriptions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usage_counters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Stopword table and full-text index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Grant revocation on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audit_log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Seed data</w:t>
      </w:r>
    </w:p>
    <w:p>
      <w:pPr>
        <w:spacing w:after="140" w:before="60" w:line="276"/>
        <w:jc w:val="left"/>
      </w:pPr>
      <w:r>
        <w:rPr>
          <w:rFonts w:ascii="Calibri" w:cs="Calibri" w:eastAsia="Calibri" w:hAnsi="Calibri"/>
          <w:color w:val="1A1A1A"/>
          <w:sz w:val="20"/>
          <w:szCs w:val="20"/>
        </w:rPr>
        <w:t xml:space="preserve">Step 3 needs care: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documents.approved_version_id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, and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document_versions.document_id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references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. Create both tables first, then add both foreign keys. </w:t>
      </w:r>
      <w:r>
        <w:rPr>
          <w:rFonts w:ascii="Consolas" w:cs="Consolas" w:eastAsia="Consolas" w:hAnsi="Consolas"/>
          <w:color w:val="0B3D2E"/>
          <w:sz w:val="18"/>
          <w:szCs w:val="18"/>
          <w:shd w:fill="F4F5F7" w:val="clear"/>
        </w:rPr>
        <w:t xml:space="preserve">documents.source_recording_id</w:t>
      </w:r>
      <w:r>
        <w:rPr>
          <w:rFonts w:ascii="Calibri" w:cs="Calibri" w:eastAsia="Calibri" w:hAnsi="Calibri"/>
          <w:color w:val="1A1A1A"/>
          <w:sz w:val="20"/>
          <w:szCs w:val="20"/>
        </w:rPr>
        <w:t xml:space="preserve"> waits for step 5.</w:t>
      </w:r>
    </w:p>
    <w:sectPr>
      <w:headerReference w:type="default" r:id="rId7"/>
      <w:footerReference w:type="default" r:id="rId8"/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B6B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4D4D4" w:sz="4" w:space="6"/>
      </w:pBdr>
      <w:tabs>
        <w:tab w:val="right" w:pos="9360"/>
      </w:tabs>
      <w:spacing w:after="200"/>
    </w:pPr>
    <w:r>
      <w:rPr>
        <w:rFonts w:ascii="Calibri" w:cs="Calibri" w:eastAsia="Calibri" w:hAnsi="Calibri"/>
        <w:color w:val="6B6B6B"/>
        <w:sz w:val="16"/>
        <w:szCs w:val="16"/>
      </w:rPr>
      <w:t xml:space="preserve">FlowZapp</w:t>
    </w:r>
    <w:r>
      <w:rPr>
        <w:rFonts w:ascii="Calibri" w:cs="Calibri" w:eastAsia="Calibri" w:hAnsi="Calibri"/>
        <w:color w:val="6B6B6B"/>
        <w:sz w:val="16"/>
        <w:szCs w:val="16"/>
      </w:rPr>
      <w:t xml:space="preserve">	Database Schema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20"/>
      </w:pPr>
    </w:lvl>
    <w:lvl w:ilvl="1" w15:tentative="1">
      <w:start w:val="1"/>
      <w:numFmt w:val="bullet"/>
      <w:lvlText w:val="◦"/>
      <w:lvlJc w:val="left"/>
      <w:pPr>
        <w:ind w:left="720" w:hanging="22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Database Schema</dc:title>
  <dc:creator>Project Documentation</dc:creator>
  <dc:description>PostgreSQL DDL, RLS policies and migration order</dc:description>
  <cp:lastModifiedBy>Un-named</cp:lastModifiedBy>
  <cp:revision>1</cp:revision>
  <dcterms:created xsi:type="dcterms:W3CDTF">2026-09-16T05:19:00.926Z</dcterms:created>
  <dcterms:modified xsi:type="dcterms:W3CDTF">2026-09-16T05:19:00.926Z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