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6B6B6B"/>
          <w:spacing w:val="60"/>
          <w:sz w:val="18"/>
          <w:szCs w:val="18"/>
        </w:rPr>
        <w:t xml:space="preserve">FLOWZAPP</w:t>
      </w:r>
    </w:p>
    <w:p>
      <w:pPr>
        <w:spacing w:after="160"/>
      </w:pPr>
      <w:r>
        <w:rPr>
          <w:rFonts w:ascii="Calibri Light" w:cs="Calibri Light" w:eastAsia="Calibri Light" w:hAnsi="Calibri Light"/>
          <w:b/>
          <w:bCs/>
          <w:color w:val="1E2761"/>
          <w:sz w:val="52"/>
          <w:szCs w:val="52"/>
        </w:rPr>
        <w:t xml:space="preserve">Documentation Index</w:t>
      </w:r>
    </w:p>
    <w:p>
      <w:pPr>
        <w:pBdr>
          <w:top w:val="single" w:color="D4D4D4" w:sz="6" w:space="12"/>
        </w:pBdr>
        <w:spacing w:after="200" w:before="160"/>
      </w:pPr>
      <w:r>
        <w:rPr>
          <w:rFonts w:ascii="Calibri" w:cs="Calibri" w:eastAsia="Calibri" w:hAnsi="Calibri"/>
          <w:color w:val="6B6B6B"/>
          <w:sz w:val="24"/>
          <w:szCs w:val="24"/>
        </w:rPr>
        <w:t xml:space="preserve">Document map, reading order, and which document governs</w:t>
      </w:r>
    </w:p>
    <w:p>
      <w:r>
        <w:rPr>
          <w:rFonts w:ascii="Calibri" w:cs="Calibri" w:eastAsia="Calibri" w:hAnsi="Calibri"/>
          <w:color w:val="6B6B6B"/>
          <w:sz w:val="20"/>
          <w:szCs w:val="20"/>
        </w:rPr>
        <w:t xml:space="preserve">Version 1.0  ·  Project documentation  ·  2026</w:t>
      </w:r>
    </w:p>
    <w:p>
      <w:r>
        <w:br w:type="page"/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FlowZapp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turns screen recordings into approved, searchable standard operating procedures.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Complete documentation set derived from the product concept deck (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FlowZapp-Product-Concept.pptx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, 2026).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Stack revision — September 2026.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The build stack moved to Angular 21 + PrimeNG on Laravel 12 / MySQL 8.4, with Valkey, DigitalOcean Spaces and the Claude API. Documents 03 and 04 were rewritten (v2.0); 01, 02, 05, 06, 07, 08, 10 and 11 were revised; the deck's architecture slide was updated. Three consequences are worth knowing before reading further: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MySQL has no row-level security.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v1.0 made Postgres RLS the tenancy boundary. That boundary is now application-layer, and a missed scope leaks rather than returning nothing. See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03-technical-architecture.md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§4 and the conformance test in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08-test-plan.md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The Claude API supplies neither transcription nor embeddings,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and MySQL 8.4 has no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VECTOR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type. Three providers are therefore still to be chosen; transcription blocks the wedge.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The Hub brand's gold collides with draft amber.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Resolved in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10-screen-specification.md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by keeping Aura's primary navy and confining gold to marketing surfaces.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The product in one paragraph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A knowledge platform where documentation is generated from real work instead of written from scratch, approved by a named owner, and retrieved through a chatbot that cites the source document. The wedge is one flow: </w:t>
      </w: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screen recording → AI-drafted SOP → approved, searchable, answerable.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Everything else exists to make that flow trustworthy.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3575"/>
        <w:gridCol w:w="3031"/>
        <w:gridCol w:w="2032"/>
      </w:tblGrid>
      <w:tr>
        <w:trPr>
          <w:cantSplit/>
          <w:tblHeader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#</w:t>
            </w:r>
          </w:p>
        </w:tc>
        <w:tc>
          <w:tcPr>
            <w:tcW w:type="dxa" w:w="357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Document</w:t>
            </w:r>
          </w:p>
        </w:tc>
        <w:tc>
          <w:tcPr>
            <w:tcW w:type="dxa" w:w="30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What it's for</w:t>
            </w:r>
          </w:p>
        </w:tc>
        <w:tc>
          <w:tcPr>
            <w:tcW w:type="dxa" w:w="20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Primary reader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01</w:t>
            </w:r>
          </w:p>
        </w:tc>
        <w:tc>
          <w:tcPr>
            <w:tcW w:type="dxa" w:w="357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Product Requirements</w:t>
            </w:r>
          </w:p>
        </w:tc>
        <w:tc>
          <w:tcPr>
            <w:tcW w:type="dxa" w:w="30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Problem, principles, scope, personas, pricing, metrics, risks, open questions</w:t>
            </w:r>
          </w:p>
        </w:tc>
        <w:tc>
          <w:tcPr>
            <w:tcW w:type="dxa" w:w="20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Everyone — start here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02</w:t>
            </w:r>
          </w:p>
        </w:tc>
        <w:tc>
          <w:tcPr>
            <w:tcW w:type="dxa" w:w="357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Functional Specification</w:t>
            </w:r>
          </w:p>
        </w:tc>
        <w:tc>
          <w:tcPr>
            <w:tcW w:type="dxa" w:w="30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Feature-by-feature behaviour, rules and acceptance criteria</w:t>
            </w:r>
          </w:p>
        </w:tc>
        <w:tc>
          <w:tcPr>
            <w:tcW w:type="dxa" w:w="20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Engineering, QA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03</w:t>
            </w:r>
          </w:p>
        </w:tc>
        <w:tc>
          <w:tcPr>
            <w:tcW w:type="dxa" w:w="357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Technical Architecture</w:t>
            </w:r>
          </w:p>
        </w:tc>
        <w:tc>
          <w:tcPr>
            <w:tcW w:type="dxa" w:w="30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v2.0</w:t>
            </w: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 — stack, tenancy without RLS, pipeline, retrieval, theming</w:t>
            </w:r>
          </w:p>
        </w:tc>
        <w:tc>
          <w:tcPr>
            <w:tcW w:type="dxa" w:w="20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Engineering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04</w:t>
            </w:r>
          </w:p>
        </w:tc>
        <w:tc>
          <w:tcPr>
            <w:tcW w:type="dxa" w:w="357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30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v2.0</w:t>
            </w: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 — MySQL 8.4 DDL, tenancy enforcement, migration order</w:t>
            </w:r>
          </w:p>
        </w:tc>
        <w:tc>
          <w:tcPr>
            <w:tcW w:type="dxa" w:w="20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Engineering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05</w:t>
            </w:r>
          </w:p>
        </w:tc>
        <w:tc>
          <w:tcPr>
            <w:tcW w:type="dxa" w:w="357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API Specification</w:t>
            </w:r>
          </w:p>
        </w:tc>
        <w:tc>
          <w:tcPr>
            <w:tcW w:type="dxa" w:w="30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REST endpoints, payloads, errors, plan limits</w:t>
            </w:r>
          </w:p>
        </w:tc>
        <w:tc>
          <w:tcPr>
            <w:tcW w:type="dxa" w:w="20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Engineering, integrators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06</w:t>
            </w:r>
          </w:p>
        </w:tc>
        <w:tc>
          <w:tcPr>
            <w:tcW w:type="dxa" w:w="357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Product Backlog</w:t>
            </w:r>
          </w:p>
        </w:tc>
        <w:tc>
          <w:tcPr>
            <w:tcW w:type="dxa" w:w="30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Epics and user stories with points and priorities</w:t>
            </w:r>
          </w:p>
        </w:tc>
        <w:tc>
          <w:tcPr>
            <w:tcW w:type="dxa" w:w="20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Project lead, engineering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07</w:t>
            </w:r>
          </w:p>
        </w:tc>
        <w:tc>
          <w:tcPr>
            <w:tcW w:type="dxa" w:w="357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Roadmap &amp; Milestones</w:t>
            </w:r>
          </w:p>
        </w:tc>
        <w:tc>
          <w:tcPr>
            <w:tcW w:type="dxa" w:w="30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M0–M5 with entry/exit criteria and go/no-go gates</w:t>
            </w:r>
          </w:p>
        </w:tc>
        <w:tc>
          <w:tcPr>
            <w:tcW w:type="dxa" w:w="20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Project lead, CEO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08</w:t>
            </w:r>
          </w:p>
        </w:tc>
        <w:tc>
          <w:tcPr>
            <w:tcW w:type="dxa" w:w="357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QA &amp; Test Plan</w:t>
            </w:r>
          </w:p>
        </w:tc>
        <w:tc>
          <w:tcPr>
            <w:tcW w:type="dxa" w:w="30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Test levels, security suite, AI eval sets, release checklist</w:t>
            </w:r>
          </w:p>
        </w:tc>
        <w:tc>
          <w:tcPr>
            <w:tcW w:type="dxa" w:w="20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QA, engineering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09</w:t>
            </w:r>
          </w:p>
        </w:tc>
        <w:tc>
          <w:tcPr>
            <w:tcW w:type="dxa" w:w="357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Go-To-Market Plan</w:t>
            </w:r>
          </w:p>
        </w:tc>
        <w:tc>
          <w:tcPr>
            <w:tcW w:type="dxa" w:w="30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Positioning, segments, launch sequence, pricing strategy, competition</w:t>
            </w:r>
          </w:p>
        </w:tc>
        <w:tc>
          <w:tcPr>
            <w:tcW w:type="dxa" w:w="20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CEO, project lead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10</w:t>
            </w:r>
          </w:p>
        </w:tc>
        <w:tc>
          <w:tcPr>
            <w:tcW w:type="dxa" w:w="357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Screen Specification</w:t>
            </w:r>
          </w:p>
        </w:tc>
        <w:tc>
          <w:tcPr>
            <w:tcW w:type="dxa" w:w="30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Design language, brand palette, screen inventory</w:t>
            </w:r>
          </w:p>
        </w:tc>
        <w:tc>
          <w:tcPr>
            <w:tcW w:type="dxa" w:w="20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Design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11</w:t>
            </w:r>
          </w:p>
        </w:tc>
        <w:tc>
          <w:tcPr>
            <w:tcW w:type="dxa" w:w="357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Screen Functional Specification</w:t>
            </w:r>
          </w:p>
        </w:tc>
        <w:tc>
          <w:tcPr>
            <w:tcW w:type="dxa" w:w="30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All 24 screens: elements, actions, states, rules</w:t>
            </w:r>
          </w:p>
        </w:tc>
        <w:tc>
          <w:tcPr>
            <w:tcW w:type="dxa" w:w="20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Build reference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12</w:t>
            </w:r>
          </w:p>
        </w:tc>
        <w:tc>
          <w:tcPr>
            <w:tcW w:type="dxa" w:w="357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Project Overview</w:t>
            </w:r>
          </w:p>
        </w:tc>
        <w:tc>
          <w:tcPr>
            <w:tcW w:type="dxa" w:w="30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Start here</w:t>
            </w: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 — what FlowZapp is and where the project stands</w:t>
            </w:r>
          </w:p>
        </w:tc>
        <w:tc>
          <w:tcPr>
            <w:tcW w:type="dxa" w:w="20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Anyone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13</w:t>
            </w:r>
          </w:p>
        </w:tc>
        <w:tc>
          <w:tcPr>
            <w:tcW w:type="dxa" w:w="357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Business Requirements (BRD)</w:t>
            </w:r>
          </w:p>
        </w:tc>
        <w:tc>
          <w:tcPr>
            <w:tcW w:type="dxa" w:w="30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Objectives, scope, BR-01…BR-34, business rules — for sign-off</w:t>
            </w:r>
          </w:p>
        </w:tc>
        <w:tc>
          <w:tcPr>
            <w:tcW w:type="dxa" w:w="20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Sponsor, stakeholders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14</w:t>
            </w:r>
          </w:p>
        </w:tc>
        <w:tc>
          <w:tcPr>
            <w:tcW w:type="dxa" w:w="357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Functional Specification (FSD)</w:t>
            </w:r>
          </w:p>
        </w:tc>
        <w:tc>
          <w:tcPr>
            <w:tcW w:type="dxa" w:w="303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FR-101…FR-912 with full two-way traceability</w:t>
            </w:r>
          </w:p>
        </w:tc>
        <w:tc>
          <w:tcPr>
            <w:tcW w:type="dxa" w:w="20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Build, UAT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Which document governs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Documents </w:t>
      </w: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13 and 14 are the formal artifacts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intended for approval and UAT sign-off. Documents 01 and 02 are the working product and engineering specs covering similar ground. They agree today and will drift if both are treated as authoritative. Where they conflict, </w:t>
      </w: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document 14 governs what gets built and tested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, and 02 should be corrected to match.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Reading order by role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CEO / stakeholder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→ 12 → 13 → 07 → 09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Approval / sign-off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→ 13 then 14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UAT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→ 14 (traceability matrix in section 10)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Engineer joining the project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→ 01 → 03 → 04 → 05 → 02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QA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→ 02 → 08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Sprint planning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→ 06 → 07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The two things that decide this project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Is tenancy isolation provably correct without RLS?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This moved up the list at v2.0. Under Postgres a forgotten filter returned nothing; under MySQL a forgotten scope returns every tenant's rows. The conformance test is not a nicety.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Does AI generation produce drafts people approve with light edits?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If not, the wedge fails and nothing downstream matters. This is gate M1 in the roadmap and it is a genuine stop condition, not a checkpoint.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Does the chatbot ever answer confidently and wrongly about a company's own process?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Trust is spent once. This is why retrieval is restricted to approved content, why every answer carries a citation, and why explicit refusal is a feature rather than a fallback.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Decisions still open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Carried forward from the PRD so they don't get lost: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Team tier behaviour above 10 seats — per-seat extension or a new tier.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Transcription provider — blocks M1, the wedge. Claude has no speech-to-text endpoint, so this is a genuine gap in the chosen stack.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Embeddings provider and vector store — block M3. Claude has no embeddings endpoint and MySQL 8.4 has no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VECTOR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type.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Browser capture only, or a desktop recorder if frame quality blocks generation.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Retain full recordings, or discard video after transcript and frames are extracted.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Whether handbook acknowledgements need legally meaningful records (signature, export) in v1.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Consistency notes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These documents cross-reference each other. When something changes: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A </w:t>
      </w: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feature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change touches 01 (scope), 02 (behaviour), 06 (stories) and 08 (tests).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A </w:t>
      </w: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data model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change touches 04 (schema) and usually 05 (API).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A </w:t>
      </w: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pricing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change touches 01, 05 (plan limits) and 09.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A </w:t>
      </w: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sequencing</w:t>
      </w:r>
      <w:r>
        <w:rPr>
          <w:rFonts w:ascii="Calibri" w:cs="Calibri" w:eastAsia="Calibri" w:hAnsi="Calibri"/>
          <w:color w:val="1E2761"/>
          <w:sz w:val="20"/>
          <w:szCs w:val="20"/>
        </w:rPr>
        <w:t xml:space="preserve"> change touches 06 (priorities) and 07 (milestones).</w:t>
      </w:r>
    </w:p>
    <w:p>
      <w:pPr>
        <w:spacing w:after="140" w:before="60" w:line="276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Version every document at the top and keep the version in sync with the milestone it describes.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4D4" w:sz="4" w:space="6"/>
      </w:pBdr>
      <w:tabs>
        <w:tab w:val="right" w:pos="9360"/>
      </w:tabs>
      <w:spacing w:after="200"/>
    </w:pPr>
    <w:r>
      <w:rPr>
        <w:rFonts w:ascii="Calibri" w:cs="Calibri" w:eastAsia="Calibri" w:hAnsi="Calibri"/>
        <w:color w:val="6B6B6B"/>
        <w:sz w:val="16"/>
        <w:szCs w:val="16"/>
      </w:rPr>
      <w:t xml:space="preserve">FlowZapp</w:t>
    </w:r>
    <w:r>
      <w:rPr>
        <w:rFonts w:ascii="Calibri" w:cs="Calibri" w:eastAsia="Calibri" w:hAnsi="Calibri"/>
        <w:color w:val="6B6B6B"/>
        <w:sz w:val="16"/>
        <w:szCs w:val="16"/>
      </w:rPr>
      <w:t xml:space="preserve">	Documentation Index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Index</dc:title>
  <dc:creator>FlowZapp</dc:creator>
  <dc:description>Document map, reading order, and which document governs</dc:description>
  <cp:lastModifiedBy>Un-named</cp:lastModifiedBy>
  <cp:revision>1</cp:revision>
  <dcterms:created xsi:type="dcterms:W3CDTF">2026-09-16T12:18:39.573Z</dcterms:created>
  <dcterms:modified xsi:type="dcterms:W3CDTF">2026-09-16T12:18:39.574Z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