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0"/>
      </w:pPr>
    </w:p>
    <w:p>
      <w:pPr>
        <w:spacing w:after="200"/>
      </w:pPr>
      <w:r>
        <w:rPr>
          <w:rFonts w:ascii="Calibri" w:cs="Calibri" w:eastAsia="Calibri" w:hAnsi="Calibri"/>
          <w:b/>
          <w:bCs/>
          <w:color w:val="6B6B6B"/>
          <w:spacing w:val="60"/>
          <w:sz w:val="18"/>
          <w:szCs w:val="18"/>
        </w:rPr>
        <w:t xml:space="preserve">FLOWZAPP</w:t>
      </w:r>
    </w:p>
    <w:p>
      <w:pPr>
        <w:spacing w:after="160"/>
      </w:pPr>
      <w:r>
        <w:rPr>
          <w:rFonts w:ascii="Calibri Light" w:cs="Calibri Light" w:eastAsia="Calibri Light" w:hAnsi="Calibri Light"/>
          <w:b/>
          <w:bCs/>
          <w:color w:val="1E2761"/>
          <w:sz w:val="52"/>
          <w:szCs w:val="52"/>
        </w:rPr>
        <w:t xml:space="preserve">Database Schema</w:t>
      </w:r>
    </w:p>
    <w:p>
      <w:pPr>
        <w:pBdr>
          <w:top w:val="single" w:color="D4D4D4" w:sz="6" w:space="12"/>
        </w:pBdr>
        <w:spacing w:after="200" w:before="160"/>
      </w:pPr>
      <w:r>
        <w:rPr>
          <w:rFonts w:ascii="Calibri" w:cs="Calibri" w:eastAsia="Calibri" w:hAnsi="Calibri"/>
          <w:color w:val="6B6B6B"/>
          <w:sz w:val="24"/>
          <w:szCs w:val="24"/>
        </w:rPr>
        <w:t xml:space="preserve">PostgreSQL DDL, RLS policies and migration order</w:t>
      </w:r>
    </w:p>
    <w:p>
      <w:r>
        <w:rPr>
          <w:rFonts w:ascii="Calibri" w:cs="Calibri" w:eastAsia="Calibri" w:hAnsi="Calibri"/>
          <w:color w:val="6B6B6B"/>
          <w:sz w:val="20"/>
          <w:szCs w:val="20"/>
        </w:rPr>
        <w:t xml:space="preserve">Version 1.0  ·  Project documentation  ·  2026</w:t>
      </w:r>
    </w:p>
    <w:p>
      <w:r>
        <w:br w:type="page"/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0. Migration notes from v1.0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93"/>
        <w:gridCol w:w="3488"/>
        <w:gridCol w:w="4179"/>
      </w:tblGrid>
      <w:tr>
        <w:trPr>
          <w:tblHeader/>
        </w:trPr>
        <w:tc>
          <w:tcPr>
            <w:tcW w:type="dxa" w:w="169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v1.0 (PostgreSQL)</w:t>
            </w:r>
          </w:p>
        </w:tc>
        <w:tc>
          <w:tcPr>
            <w:tcW w:type="dxa" w:w="348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v2.0 (MySQL 8.4)</w:t>
            </w:r>
          </w:p>
        </w:tc>
        <w:tc>
          <w:tcPr>
            <w:tcW w:type="dxa" w:w="417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Consequence</w:t>
            </w:r>
          </w:p>
        </w:tc>
      </w:tr>
      <w:tr>
        <w:tc>
          <w:tcPr>
            <w:tcW w:type="dxa" w:w="169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uuid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+ </w:t>
            </w: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gen_random_uuid()</w:t>
            </w:r>
          </w:p>
        </w:tc>
        <w:tc>
          <w:tcPr>
            <w:tcW w:type="dxa" w:w="348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char(26)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ULID, generated by Laravel</w:t>
            </w:r>
          </w:p>
        </w:tc>
        <w:tc>
          <w:tcPr>
            <w:tcW w:type="dxa" w:w="417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Monotonic, so clustered-index inserts stay sequential</w:t>
            </w:r>
          </w:p>
        </w:tc>
      </w:tr>
      <w:tr>
        <w:tc>
          <w:tcPr>
            <w:tcW w:type="dxa" w:w="169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jsonb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+ GIN index</w:t>
            </w:r>
          </w:p>
        </w:tc>
        <w:tc>
          <w:tcPr>
            <w:tcW w:type="dxa" w:w="348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json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+ generated columns + functional indexes</w:t>
            </w:r>
          </w:p>
        </w:tc>
        <w:tc>
          <w:tcPr>
            <w:tcW w:type="dxa" w:w="417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Anything queried inside JSON needs an explicit generated column</w:t>
            </w:r>
          </w:p>
        </w:tc>
      </w:tr>
      <w:tr>
        <w:tc>
          <w:tcPr>
            <w:tcW w:type="dxa" w:w="169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create type … as enum</w:t>
            </w:r>
          </w:p>
        </w:tc>
        <w:tc>
          <w:tcPr>
            <w:tcW w:type="dxa" w:w="348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enum(...)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inline, or lookup table</w:t>
            </w:r>
          </w:p>
        </w:tc>
        <w:tc>
          <w:tcPr>
            <w:tcW w:type="dxa" w:w="417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Adding a value is </w:t>
            </w: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ALTER TABLE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; instant when appended last in 8.0+</w:t>
            </w:r>
          </w:p>
        </w:tc>
      </w:tr>
      <w:tr>
        <w:tc>
          <w:tcPr>
            <w:tcW w:type="dxa" w:w="169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tsvector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+ GIN</w:t>
            </w:r>
          </w:p>
        </w:tc>
        <w:tc>
          <w:tcPr>
            <w:tcW w:type="dxa" w:w="348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FULLTEXT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index on a materialised </w:t>
            </w: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body_text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column</w:t>
            </w:r>
          </w:p>
        </w:tc>
        <w:tc>
          <w:tcPr>
            <w:tcW w:type="dxa" w:w="417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Weaker ranking control — see architecture §6</w:t>
            </w:r>
          </w:p>
        </w:tc>
      </w:tr>
      <w:tr>
        <w:tc>
          <w:tcPr>
            <w:tcW w:type="dxa" w:w="169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bigserial</w:t>
            </w:r>
          </w:p>
        </w:tc>
        <w:tc>
          <w:tcPr>
            <w:tcW w:type="dxa" w:w="348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bigint unsigned auto_increment</w:t>
            </w:r>
          </w:p>
        </w:tc>
        <w:tc>
          <w:tcPr>
            <w:tcW w:type="dxa" w:w="417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69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inet</w:t>
            </w:r>
          </w:p>
        </w:tc>
        <w:tc>
          <w:tcPr>
            <w:tcW w:type="dxa" w:w="348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varbinary(16)</w:t>
            </w:r>
          </w:p>
        </w:tc>
        <w:tc>
          <w:tcPr>
            <w:tcW w:type="dxa" w:w="417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Store via </w:t>
            </w: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INET6_ATON()</w:t>
            </w:r>
          </w:p>
        </w:tc>
      </w:tr>
      <w:tr>
        <w:tc>
          <w:tcPr>
            <w:tcW w:type="dxa" w:w="169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timestamptz</w:t>
            </w:r>
          </w:p>
        </w:tc>
        <w:tc>
          <w:tcPr>
            <w:tcW w:type="dxa" w:w="348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timestamp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with the session in UTC</w:t>
            </w:r>
          </w:p>
        </w:tc>
        <w:tc>
          <w:tcPr>
            <w:tcW w:type="dxa" w:w="417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Set </w:t>
            </w: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time_zone = '+00:00'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on the connection</w:t>
            </w:r>
          </w:p>
        </w:tc>
      </w:tr>
      <w:tr>
        <w:tc>
          <w:tcPr>
            <w:tcW w:type="dxa" w:w="169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Row-Level Security</w:t>
            </w:r>
          </w:p>
        </w:tc>
        <w:tc>
          <w:tcPr>
            <w:tcW w:type="dxa" w:w="348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None — application layer</w:t>
            </w:r>
          </w:p>
        </w:tc>
        <w:tc>
          <w:tcPr>
            <w:tcW w:type="dxa" w:w="417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See §7. This is the consequential change</w:t>
            </w:r>
          </w:p>
        </w:tc>
      </w:tr>
    </w:tbl>
    <w:p>
      <w:pPr>
        <w:spacing w:after="160"/>
      </w:pP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Engine and collation for every table: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ENGINE=InnoDB DEFAULT CHARSET=utf8mb4 COLLATE=utf8mb4_0900_ai_ci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.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Conventions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char(26)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ULID primary keys, generated in PHP (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Str::ulid()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), never by the database.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Every tenant-scoped table carries `workspace_id`.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It is the first column of most composite indexes and the anchor for application-layer scoping.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created_at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/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updated_at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as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timestamp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— Laravel's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timestamps()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Soft delete via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deleted_at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where history matters; hard delete only for media.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Document content in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json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never HTML.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Foreign keys declared with explicit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ON DELETE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behaviour. MySQL enforces them under InnoDB; do not rely on application-only integrity.</w:t>
      </w:r>
    </w:p>
    <w:p>
      <w:pPr>
        <w:pBdr>
          <w:bottom w:val="single" w:color="D4D4D4" w:sz="6" w:space="1"/>
        </w:pBdr>
        <w:spacing w:after="200" w:before="120"/>
      </w:pP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Core tenancy</w:t>
      </w:r>
    </w:p>
    <w:p>
      <w:pPr>
        <w:shd w:fill="F4F5F7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create table workspaces (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id            char(26) not null primary key,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name          varchar(120)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slug          varchar(80)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plan          enum('free','pro','team') not null default 'free',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settings      json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created_at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updated_at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unique key uq_workspaces_slug (slug)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) engine=InnoDB;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create table users (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id            char(26) not null primary key,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name          varchar(120)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email         varchar(190)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email_verified_at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password      varchar(255) null,          -- null when magic-link only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locale        varchar(10) not null default 'en',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avatar_path   varchar(255)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remember_token varchar(100)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created_at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updated_at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unique key uq_users_email (email)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) engine=InnoDB;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create table workspace_members (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id            char(26) not null primary key,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workspace_id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user_id     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role          enum('admin','approver','editor','reader','guest') not null default 'editor',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invited_by    char(26)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joined_at 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created_at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updated_at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unique key uq_ws_member (workspace_id, user_id),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key ix_ws_member_user (user_id),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fk_wsm_ws   foreign key (workspace_id) references workspaces(id) on delete cascade,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fk_wsm_user foreign key (user_id)      references users(id)      on delete cascade,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fk_wsm_inv  foreign key (invited_by)   references users(id)      on delete set null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) engine=InnoDB;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create table workspace_invites (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id            char(26) not null primary key,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workspace_id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email         varchar(190)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role          enum('admin','approver','editor','reader','guest') not null default 'editor',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token_hash    char(64)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expires_at    timestamp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accepted_at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revoked_at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created_by    char(26)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created_at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updated_at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unique key uq_invite_token (token_hash),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key ix_invite_ws_email (workspace_id, email),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fk_inv_ws foreign key (workspace_id) references workspaces(id) on delete cascade</w:t>
      </w:r>
    </w:p>
    <w:p>
      <w:pPr>
        <w:shd w:fill="F4F5F7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) engine=InnoDB;</w:t>
      </w:r>
    </w:p>
    <w:p>
      <w:pPr>
        <w:spacing w:after="140" w:before="60" w:line="276"/>
        <w:jc w:val="left"/>
      </w:pP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token_hash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stores a SHA-256 of the invite token, never the token itself. The raw value exists only in the emailed link.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Spaces, folders, documents</w:t>
      </w:r>
    </w:p>
    <w:p>
      <w:pPr>
        <w:shd w:fill="F4F5F7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create table spaces (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id            char(26) not null primary key,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workspace_id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name          varchar(120)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description   varchar(500)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is_handbook   tinyint(1) not null default 0,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created_by    char(26)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created_at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updated_at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unique key uq_space_name (workspace_id, name),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fk_space_ws foreign key (workspace_id) references workspaces(id) on delete cascade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) engine=InnoDB;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create table space_members (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id            char(26) not null primary key,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workspace_id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space_id    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user_id     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role          enum('admin','approver','editor','reader','guest') not null default 'reader',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created_at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updated_at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unique key uq_space_member (space_id, user_id),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key ix_space_member_user (user_id),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key ix_space_member_ws (workspace_id),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fk_sm_space foreign key (space_id) references spaces(id) on delete cascade,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fk_sm_user  foreign key (user_id)  references users(id)  on delete cascade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) engine=InnoDB;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create table folders (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id            char(26) not null primary key,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workspace_id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space_id    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parent_id     char(26)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name          varchar(120)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position      int not null default 0,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depth         tinyint unsigned not null default 0,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created_at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updated_at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key ix_folder_tree (workspace_id, space_id, parent_id),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fk_folder_space  foreign key (space_id)  references spaces(id)  on delete cascade,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fk_folder_parent foreign key (parent_id) references folders(id) on delete cascade,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ck_folder_depth  check (depth &lt;= 5)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) engine=InnoDB;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create table documents (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id                  char(26) not null primary key,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workspace_id      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space_id          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folder_id           char(26)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title               varchar(250)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doc_type            enum('sop','policy','handbook_page','note') not null default 'sop',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state               enum('draft','in_review','approved','archived') not null default 'draft',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owner_id            char(26)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created_by          char(26)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source_recording_id char(26)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content             json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body_text           mediumtext null,       -- flattened plain text, maintained on save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approved_version_id char(26)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requires_ack        tinyint(1) not null default 0,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review_due_at   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language            varchar(10) not null default 'en',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translation_of      char(26)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translation_stale   tinyint(1) not null default 0,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deleted_at      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created_at      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updated_at      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key ix_doc_scope  (workspace_id, space_id, state),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key ix_doc_folder (folder_id),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key ix_doc_owner  (owner_id),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key ix_doc_review (workspace_id, review_due_at),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fulltext key ft_doc_search (title, body_text),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fk_doc_space  foreign key (space_id)  references spaces(id)  on delete cascade,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fk_doc_folder foreign key (folder_id) references folders(id) on delete set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fk_doc_owner  foreign key (owner_id)  references users(id)   on delete set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fk_doc_trans  foreign key (translation_of) references documents(id) on delete set null</w:t>
      </w:r>
    </w:p>
    <w:p>
      <w:pPr>
        <w:shd w:fill="F4F5F7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) engine=InnoDB;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Two things here differ meaningfully from v1.0.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`body_text` is new and is not redundant.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Postgres could index a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tsvector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derived from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jsonb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. MySQL cannot build a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FULLTEXT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index over a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json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column, so the plain text has to be materialised into a real column. It is written by the application on every save — flatten the content blocks to text — and is the only column, with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title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that full-text search reads. If it drifts from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content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search silently goes stale, so the flattening belongs in one place: a model observer, not a controller.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`documents.content` remains the working copy.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Live approved content is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document_versions.content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for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approved_version_id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. That split is what lets an approved document stay published while a new draft is edited.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Steps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Steps are rows as well as content, because chunking, citation deep links and checkpoint state all need to address a step by ID.</w:t>
      </w:r>
    </w:p>
    <w:p>
      <w:pPr>
        <w:shd w:fill="F4F5F7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create table document_steps (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id              char(26) not null primary key,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workspace_id  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document_id   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version_id      char(26) null,             -- null = working draft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position        int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instruction     text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note            text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expected_result text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is_critical     tinyint(1) not null default 0,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is_checkpoint   tinyint(1) not null default 0,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media_asset_id  char(26)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source_ts_start decimal(10,3)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source_ts_end   decimal(10,3)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verified_at 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created_at  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updated_at  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unique key uq_step_pos (document_id, version_id, position),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key ix_step_doc (document_id, version_id),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fk_step_doc foreign key (document_id) references documents(id) on delete cascade</w:t>
      </w:r>
    </w:p>
    <w:p>
      <w:pPr>
        <w:shd w:fill="F4F5F7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) engine=InnoDB;</w:t>
      </w:r>
    </w:p>
    <w:p>
      <w:pPr>
        <w:spacing w:after="140" w:before="60" w:line="276"/>
        <w:jc w:val="left"/>
      </w:pP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verified_at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is new in v2.0, supporting the draft-review gate: submit stays blocked until every step is verified or edited.</w:t>
      </w:r>
    </w:p>
    <w:p>
      <w:pPr>
        <w:pBdr>
          <w:left w:val="single" w:color="1E2761" w:sz="12" w:space="12"/>
        </w:pBdr>
        <w:spacing w:after="160" w:before="120"/>
        <w:ind w:left="360"/>
      </w:pPr>
      <w:r>
        <w:rPr>
          <w:rFonts w:ascii="Calibri" w:cs="Calibri" w:eastAsia="Calibri" w:hAnsi="Calibri"/>
          <w:b/>
          <w:bCs/>
          <w:i/>
          <w:iCs/>
          <w:color w:val="6B6B6B"/>
          <w:sz w:val="20"/>
          <w:szCs w:val="20"/>
        </w:rPr>
        <w:t xml:space="preserve">MySQL caveat.</w:t>
      </w:r>
      <w:r>
        <w:rPr>
          <w:rFonts w:ascii="Calibri" w:cs="Calibri" w:eastAsia="Calibri" w:hAnsi="Calibri"/>
          <w:i/>
          <w:iCs/>
          <w:color w:val="6B6B6B"/>
          <w:sz w:val="20"/>
          <w:szCs w:val="20"/>
        </w:rPr>
        <w:t xml:space="preserve"> </w:t>
      </w:r>
      <w:r>
        <w:rPr>
          <w:rFonts w:ascii="Consolas" w:cs="Consolas" w:eastAsia="Consolas" w:hAnsi="Consolas"/>
          <w:i/>
          <w:iCs/>
          <w:color w:val="6B6B6B"/>
          <w:sz w:val="18"/>
          <w:szCs w:val="18"/>
          <w:shd w:fill="F4F5F7" w:val="clear"/>
        </w:rPr>
        <w:t xml:space="preserve">unique key (document_id, version_id, position)</w:t>
      </w:r>
      <w:r>
        <w:rPr>
          <w:rFonts w:ascii="Calibri" w:cs="Calibri" w:eastAsia="Calibri" w:hAnsi="Calibri"/>
          <w:i/>
          <w:iCs/>
          <w:color w:val="6B6B6B"/>
          <w:sz w:val="20"/>
          <w:szCs w:val="20"/>
        </w:rPr>
        <w:t xml:space="preserve"> does not prevent duplicate positions on the working draft, because </w:t>
      </w:r>
      <w:r>
        <w:rPr>
          <w:rFonts w:ascii="Consolas" w:cs="Consolas" w:eastAsia="Consolas" w:hAnsi="Consolas"/>
          <w:i/>
          <w:iCs/>
          <w:color w:val="6B6B6B"/>
          <w:sz w:val="18"/>
          <w:szCs w:val="18"/>
          <w:shd w:fill="F4F5F7" w:val="clear"/>
        </w:rPr>
        <w:t xml:space="preserve">version_id</w:t>
      </w:r>
      <w:r>
        <w:rPr>
          <w:rFonts w:ascii="Calibri" w:cs="Calibri" w:eastAsia="Calibri" w:hAnsi="Calibri"/>
          <w:i/>
          <w:iCs/>
          <w:color w:val="6B6B6B"/>
          <w:sz w:val="20"/>
          <w:szCs w:val="20"/>
        </w:rPr>
        <w:t xml:space="preserve"> is </w:t>
      </w:r>
      <w:r>
        <w:rPr>
          <w:rFonts w:ascii="Consolas" w:cs="Consolas" w:eastAsia="Consolas" w:hAnsi="Consolas"/>
          <w:i/>
          <w:iCs/>
          <w:color w:val="6B6B6B"/>
          <w:sz w:val="18"/>
          <w:szCs w:val="18"/>
          <w:shd w:fill="F4F5F7" w:val="clear"/>
        </w:rPr>
        <w:t xml:space="preserve">NULL</w:t>
      </w:r>
      <w:r>
        <w:rPr>
          <w:rFonts w:ascii="Calibri" w:cs="Calibri" w:eastAsia="Calibri" w:hAnsi="Calibri"/>
          <w:i/>
          <w:iCs/>
          <w:color w:val="6B6B6B"/>
          <w:sz w:val="20"/>
          <w:szCs w:val="20"/>
        </w:rPr>
        <w:t xml:space="preserve"> there and MySQL treats each </w:t>
      </w:r>
      <w:r>
        <w:rPr>
          <w:rFonts w:ascii="Consolas" w:cs="Consolas" w:eastAsia="Consolas" w:hAnsi="Consolas"/>
          <w:i/>
          <w:iCs/>
          <w:color w:val="6B6B6B"/>
          <w:sz w:val="18"/>
          <w:szCs w:val="18"/>
          <w:shd w:fill="F4F5F7" w:val="clear"/>
        </w:rPr>
        <w:t xml:space="preserve">NULL</w:t>
      </w:r>
      <w:r>
        <w:rPr>
          <w:rFonts w:ascii="Calibri" w:cs="Calibri" w:eastAsia="Calibri" w:hAnsi="Calibri"/>
          <w:i/>
          <w:iCs/>
          <w:color w:val="6B6B6B"/>
          <w:sz w:val="20"/>
          <w:szCs w:val="20"/>
        </w:rPr>
        <w:t xml:space="preserve"> as distinct. Enforce working-draft position uniqueness in the application, or use the sentinel </w:t>
      </w:r>
      <w:r>
        <w:rPr>
          <w:rFonts w:ascii="Consolas" w:cs="Consolas" w:eastAsia="Consolas" w:hAnsi="Consolas"/>
          <w:i/>
          <w:iCs/>
          <w:color w:val="6B6B6B"/>
          <w:sz w:val="18"/>
          <w:szCs w:val="18"/>
          <w:shd w:fill="F4F5F7" w:val="clear"/>
        </w:rPr>
        <w:t xml:space="preserve">'0'</w:t>
      </w:r>
      <w:r>
        <w:rPr>
          <w:rFonts w:ascii="Calibri" w:cs="Calibri" w:eastAsia="Calibri" w:hAnsi="Calibri"/>
          <w:i/>
          <w:iCs/>
          <w:color w:val="6B6B6B"/>
          <w:sz w:val="20"/>
          <w:szCs w:val="20"/>
        </w:rPr>
        <w:t xml:space="preserve"> instead of </w:t>
      </w:r>
      <w:r>
        <w:rPr>
          <w:rFonts w:ascii="Consolas" w:cs="Consolas" w:eastAsia="Consolas" w:hAnsi="Consolas"/>
          <w:i/>
          <w:iCs/>
          <w:color w:val="6B6B6B"/>
          <w:sz w:val="18"/>
          <w:szCs w:val="18"/>
          <w:shd w:fill="F4F5F7" w:val="clear"/>
        </w:rPr>
        <w:t xml:space="preserve">NULL</w:t>
      </w:r>
      <w:r>
        <w:rPr>
          <w:rFonts w:ascii="Calibri" w:cs="Calibri" w:eastAsia="Calibri" w:hAnsi="Calibri"/>
          <w:i/>
          <w:iCs/>
          <w:color w:val="6B6B6B"/>
          <w:sz w:val="20"/>
          <w:szCs w:val="20"/>
        </w:rPr>
        <w:t xml:space="preserve"> for the working copy. The sentinel is the safer choice and is what the migration uses.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Versioning and approvals</w:t>
      </w:r>
    </w:p>
    <w:p>
      <w:pPr>
        <w:shd w:fill="F4F5F7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create table document_versions (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id              char(26) not null primary key,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workspace_id  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document_id   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version_number  int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title           varchar(250)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content         json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body_text       mediumtext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change_summary  varchar(500)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authored_by     char(26)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approved_by     char(26)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approved_at 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created_at  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updated_at  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unique key uq_version_no (document_id, version_number),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key ix_version_ws (workspace_id),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fk_ver_doc foreign key (document_id) references documents(id) on delete cascade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) engine=InnoDB;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alter table documents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add constraint fk_doc_approved_version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foreign key (approved_version_id) references document_versions(id) on delete set null;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alter table documents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add constraint fk_doc_source_recording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foreign key (source_recording_id) references recordings(id) on delete set null;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create table approvals (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id            char(26) not null primary key,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workspace_id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document_id 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requested_by  char(26)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reviewer_id   char(26)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from_state    enum('draft','in_review','approved','archived')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to_state      enum('draft','in_review','approved','archived')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comment       text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created_at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updated_at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key ix_appr_doc (document_id, created_at),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fk_appr_doc foreign key (document_id) references documents(id) on delete cascade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) engine=InnoDB;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create table acknowledgements (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id              char(26) not null primary key,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workspace_id  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document_id   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version_id    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user_id       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acknowledged_at timestamp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created_at  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updated_at  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unique key uq_ack (version_id, user_id),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key ix_ack_ws_user (workspace_id, user_id),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fk_ack_ver  foreign key (version_id) references document_versions(id) on delete cascade,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fk_ack_user foreign key (user_id)    references users(id)             on delete cascade</w:t>
      </w:r>
    </w:p>
    <w:p>
      <w:pPr>
        <w:shd w:fill="F4F5F7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) engine=InnoDB;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Acknowledgement is unique per 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version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not per document. That is what makes a new publish re-trigger it.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`version_number` assignment.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v1.0 used a Postgres trigger. In MySQL, do it in the application inside the approval transaction: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select max(version_number) … for update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then insert. The row lock plus the unique key make concurrent approvals safe — the loser gets a duplicate-key error and retries, which is correct behaviour rather than a bug.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Recordings and the pipeline</w:t>
      </w:r>
    </w:p>
    <w:p>
      <w:pPr>
        <w:shd w:fill="F4F5F7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create table recordings (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id             char(26) not null primary key,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workspace_id 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space_id       char(26)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uploaded_by    char(26)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title          varchar(250)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storage_key    varchar(500) not null,      -- {workspace_id}/{recording_id}/source.webm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mime_type      varchar(100)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size_bytes     bigint unsigned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duration_sec   decimal(10,3)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state          enum('uploaded','transcribing','segmenting','generating','draft_ready','failed')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               not null default 'uploaded',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failure_reason varchar(500)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created_at 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updated_at 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key ix_rec_scope (workspace_id, state),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fk_rec_space foreign key (space_id)    references spaces(id) on delete set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fk_rec_user  foreign key (uploaded_by) references users(id)  on delete set null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) engine=InnoDB;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create table transcripts (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id           char(26) not null primary key,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workspace_id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recording_id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language     varchar(10)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confidence   decimal(5,4)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full_text    longtext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words        json null,                    -- [{w, start, end, conf}]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provider     varchar(50) null,             -- which transcription driver produced this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created_at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updated_at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unique key uq_transcript_rec (recording_id),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fk_trans_rec foreign key (recording_id) references recordings(id) on delete cascade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) engine=InnoDB;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create table recording_segments (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id             char(26) not null primary key,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workspace_id 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recording_id 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position       int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ts_start       decimal(10,3)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ts_end         decimal(10,3)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summary        text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confidence     decimal(5,4)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frame_asset_id char(26)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created_at 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updated_at 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unique key uq_seg_pos (recording_id, position),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fk_seg_rec foreign key (recording_id) references recordings(id) on delete cascade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) engine=InnoDB;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create table media_assets (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id           char(26) not null primary key,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workspace_id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recording_id char(26)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document_id  char(26)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kind         enum('frame','image','attachment','video')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storage_key  varchar(500)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mime_type    varchar(100)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size_bytes   bigint unsigned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width        int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height       int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created_at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updated_at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key ix_media_doc (workspace_id, document_id),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key ix_media_rec (recording_id),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fk_media_rec foreign key (recording_id) references recordings(id) on delete cascade,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fk_media_doc foreign key (document_id)  references documents(id)  on delete cascade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) engine=InnoDB;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create table pipeline_jobs (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id           bigint unsigned not null auto_increment primary key,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workspace_id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recording_id char(26)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document_id  char(26)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stage        enum('transcribe','segment','frames','generate','embed')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job_key      varchar(191)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status       enum('queued','running','succeeded','failed') not null default 'queued',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attempts     int not null default 0,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cost_usd     decimal(10,5)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error        text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started_at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finished_at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created_at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updated_at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unique key uq_job_key (job_key),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key ix_job_status (status, stage)</w:t>
      </w:r>
    </w:p>
    <w:p>
      <w:pPr>
        <w:shd w:fill="F4F5F7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) engine=InnoDB;</w:t>
      </w:r>
    </w:p>
    <w:p>
      <w:pPr>
        <w:spacing w:after="140" w:before="60" w:line="276"/>
        <w:jc w:val="left"/>
      </w:pP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job_key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is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varchar(191)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rather than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varchar(255)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so the unique index stays within InnoDB's 3072-byte limit under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utf8mb4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with room to spare.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provider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on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transcripts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and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cost_usd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on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pipeline_jobs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are new: with providers now swappable behind drivers, knowing which one produced a given transcript and what it cost is how the driver choice gets evaluated on evidence.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Laravel's own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jobs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job_batches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and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failed_jobs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tables are not reproduced here. With Valkey as the queue driver, only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failed_jobs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lives in MySQL.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Retrieval index mirror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Vectors live in the external index. This table is the authoritative record of what </w:t>
      </w:r>
      <w:r>
        <w:rPr>
          <w:rFonts w:ascii="Calibri" w:cs="Calibri" w:eastAsia="Calibri" w:hAnsi="Calibri"/>
          <w:i/>
          <w:iCs/>
          <w:color w:val="1A1A1A"/>
          <w:sz w:val="20"/>
          <w:szCs w:val="20"/>
        </w:rPr>
        <w:t xml:space="preserve">should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be indexed, so drift is detectable.</w:t>
      </w:r>
    </w:p>
    <w:p>
      <w:pPr>
        <w:shd w:fill="F4F5F7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create table document_chunks (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id           char(26) not null primary key,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workspace_id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space_id   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document_id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version_id 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section_ref  varchar(60) not null,         -- 'step:7', 'section:purpose'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heading_path varchar(500)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content      text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token_count  int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vector_id    varchar(120) null,            -- id in the external index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embed_model  varchar(60) null,             -- which embeddings model produced this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indexed_at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created_at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updated_at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key ix_chunk_doc   (document_id, version_id),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key ix_chunk_scope (workspace_id, space_id),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key ix_chunk_stale (workspace_id, indexed_at),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fk_chunk_doc foreign key (document_id) references documents(id) on delete cascade,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fk_chunk_ver foreign key (version_id)  references document_versions(id) on delete cascade</w:t>
      </w:r>
    </w:p>
    <w:p>
      <w:pPr>
        <w:shd w:fill="F4F5F7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) engine=InnoDB;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Correctness invariant: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every document with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state = 'approved'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must have chunks for its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approved_version_id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with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indexed_at is not null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. Anything else is an alerting condition, not a warning.</w:t>
      </w:r>
    </w:p>
    <w:p>
      <w:pPr>
        <w:spacing w:after="140" w:before="60" w:line="276"/>
        <w:jc w:val="left"/>
      </w:pP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embed_model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matters because changing embeddings provider invalidates every existing vector. Recording the model per chunk makes a re-embed migration targetable instead of a full rebuild.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Chat</w:t>
      </w:r>
    </w:p>
    <w:p>
      <w:pPr>
        <w:shd w:fill="F4F5F7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create table chat_sessions (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id           char(26) not null primary key,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workspace_id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user_id    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title        varchar(250)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created_at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updated_at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key ix_chat_ws_user (workspace_id, user_id),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fk_cs_user foreign key (user_id) references users(id) on delete cascade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) engine=InnoDB;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create table chat_messages (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id            char(26) not null primary key,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workspace_id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session_id  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role          enum('user','assistant')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content       mediumtext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citations     json null,                   -- [{document_id, version_id, section_ref, score}]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refused       tinyint(1) not null default 0,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latency_ms    int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rated_helpful tinyint(1)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created_at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updated_at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key ix_msg_session (session_id, created_at),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key ix_msg_refused (workspace_id, refused, created_at),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fk_cm_session foreign key (session_id) references chat_sessions(id) on delete cascade</w:t>
      </w:r>
    </w:p>
    <w:p>
      <w:pPr>
        <w:shd w:fill="F4F5F7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) engine=InnoDB;</w:t>
      </w:r>
    </w:p>
    <w:p>
      <w:pPr>
        <w:spacing w:after="140" w:before="60" w:line="276"/>
        <w:jc w:val="left"/>
      </w:pP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refused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and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rated_helpful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are product metrics, not debug fields — they feed the trust KPIs and the knowledge-gaps report.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ix_msg_refused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exists specifically so that report stays cheap as volume grows.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Billing, usage, audit</w:t>
      </w:r>
    </w:p>
    <w:p>
      <w:pPr>
        <w:shd w:fill="F4F5F7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create table subscriptions (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id                   char(26) not null primary key,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workspace_id       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tier                 enum('free','pro','team') not null default 'free',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seats                int not null default 3,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provider_customer_id varchar(120)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provider_sub_id      varchar(120)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status               varchar(40) not null default 'active',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current_period_end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created_at       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updated_at       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unique key uq_sub_ws (workspace_id),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fk_sub_ws foreign key (workspace_id) references workspaces(id) on delete cascade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) engine=InnoDB;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create table usage_counters (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workspace_id     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period_start       date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documents_count    int not null default 0,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recordings_minutes decimal(12,2) not null default 0,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sop_generations    int not null default 0,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chat_queries       int not null default 0,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llm_cost_usd       decimal(12,5) not null default 0,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created_at     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updated_at     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primary key (workspace_id, period_start),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fk_usage_ws foreign key (workspace_id) references workspaces(id) on delete cascade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) engine=InnoDB;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create table audit_log (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id           bigint unsigned not null auto_increment primary key,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workspace_id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actor_id     char(26)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action       varchar(80) not null,         -- 'document.approved', 'member.role_changed'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entity_type  varchar(60)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entity_id    char(26)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metadata     json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ip           varbinary(16) null,           -- INET6_ATON()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created_at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key ix_audit_ws  (workspace_id, created_at),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key ix_audit_ent (entity_type, entity_id)</w:t>
      </w:r>
    </w:p>
    <w:p>
      <w:pPr>
        <w:shd w:fill="F4F5F7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) engine=InnoDB;</w:t>
      </w:r>
    </w:p>
    <w:p>
      <w:pPr>
        <w:spacing w:after="140" w:before="60" w:line="276"/>
        <w:jc w:val="left"/>
      </w:pP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audit_log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has no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updated_at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by design, and the application database user is granted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INSERT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and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SELECT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on it only:</w:t>
      </w:r>
    </w:p>
    <w:p>
      <w:pPr>
        <w:shd w:fill="F4F5F7" w:val="clear"/>
        <w:spacing w:after="140" w:before="10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revoke update, delete on sop_app.audit_log from 'app_user'@'%';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DigitalOcean managed MySQL permits per-table grants for non-admin users, so this is enforceable. It is not a substitute for not writing update code, but it is the backstop.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Querying inside JSON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MySQL cannot index a whole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json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column. Anything filtered or sorted on needs a generated column:</w:t>
      </w:r>
    </w:p>
    <w:p>
      <w:pPr>
        <w:shd w:fill="F4F5F7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alter table documents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add column content_block_count int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  generated always as (json_length(content, '$.blocks')) stored,</w:t>
      </w:r>
    </w:p>
    <w:p>
      <w:pPr>
        <w:shd w:fill="F4F5F7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add key ix_doc_blocks (content_block_count);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Use this sparingly. If a value is queried often enough to need an index, it usually belongs in a real column — which is exactly why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body_text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is a plain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mediumtext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rather than a generated column over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content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.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Full-text search configuration</w:t>
      </w:r>
    </w:p>
    <w:p>
      <w:pPr>
        <w:shd w:fill="F4F5F7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-- session must be UTC for timestamp correctness</w:t>
      </w:r>
    </w:p>
    <w:p>
      <w:pPr>
        <w:shd w:fill="F4F5F7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set time_zone = '+00:00';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Two server parameters need setting in the DigitalOcean managed cluster before the full-text index is built, because changing them later requires rebuilding it: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74"/>
        <w:gridCol w:w="752"/>
        <w:gridCol w:w="793"/>
        <w:gridCol w:w="5141"/>
      </w:tblGrid>
      <w:tr>
        <w:trPr>
          <w:tblHeader/>
        </w:trPr>
        <w:tc>
          <w:tcPr>
            <w:tcW w:type="dxa" w:w="267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Parameter</w:t>
            </w:r>
          </w:p>
        </w:tc>
        <w:tc>
          <w:tcPr>
            <w:tcW w:type="dxa" w:w="75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Default</w:t>
            </w:r>
          </w:p>
        </w:tc>
        <w:tc>
          <w:tcPr>
            <w:tcW w:type="dxa" w:w="79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Set to</w:t>
            </w:r>
          </w:p>
        </w:tc>
        <w:tc>
          <w:tcPr>
            <w:tcW w:type="dxa" w:w="514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Why</w:t>
            </w:r>
          </w:p>
        </w:tc>
      </w:tr>
      <w:tr>
        <w:tc>
          <w:tcPr>
            <w:tcW w:type="dxa" w:w="267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innodb_ft_min_token_size</w:t>
            </w:r>
          </w:p>
        </w:tc>
        <w:tc>
          <w:tcPr>
            <w:tcW w:type="dxa" w:w="75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3</w:t>
            </w:r>
          </w:p>
        </w:tc>
        <w:tc>
          <w:tcPr>
            <w:tcW w:type="dxa" w:w="79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2</w:t>
            </w:r>
          </w:p>
        </w:tc>
        <w:tc>
          <w:tcPr>
            <w:tcW w:type="dxa" w:w="514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Short acronyms ("PO", "QA", "HR") are common in procedure text and unsearchable at the default</w:t>
            </w:r>
          </w:p>
        </w:tc>
      </w:tr>
      <w:tr>
        <w:tc>
          <w:tcPr>
            <w:tcW w:type="dxa" w:w="267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innodb_ft_server_stopword_table</w:t>
            </w:r>
          </w:p>
        </w:tc>
        <w:tc>
          <w:tcPr>
            <w:tcW w:type="dxa" w:w="75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built-in</w:t>
            </w:r>
          </w:p>
        </w:tc>
        <w:tc>
          <w:tcPr>
            <w:tcW w:type="dxa" w:w="79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custom table</w:t>
            </w:r>
          </w:p>
        </w:tc>
        <w:tc>
          <w:tcPr>
            <w:tcW w:type="dxa" w:w="514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The default list strips words that carry meaning in procedures — "before", "after", "not", "must"</w:t>
            </w:r>
          </w:p>
        </w:tc>
      </w:tr>
    </w:tbl>
    <w:p>
      <w:pPr>
        <w:spacing w:after="160"/>
      </w:pP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The custom stopword table must exist and be populated before the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FULLTEXT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index is created.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7. Tenancy enforcement — replacing RLS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v1.0 enforced isolation with Postgres RLS policies. 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MySQL has no equivalent, so this section replaces them entirely.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The architecture document covers the reasoning; this is the schema-side contract.</w:t>
      </w: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color w:val="1A1A1A"/>
          <w:sz w:val="23"/>
          <w:szCs w:val="23"/>
        </w:rPr>
        <w:t xml:space="preserve">7.1 What the schema guarantees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Every tenant-scoped table has a non-null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workspace_id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workspace_id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leads the primary lookup index on every such table, so a correctly scoped query is also the fast query.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Foreign keys prevent a row referencing a parent in another workspace 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only transitively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. MySQL will not check that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document_steps.workspace_id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matches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documents.workspace_id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.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That last point is a genuine gap. Close it with a check constraint where the parent is stable, and with a model observer otherwise:</w:t>
      </w:r>
    </w:p>
    <w:p>
      <w:pPr>
        <w:shd w:fill="F4F5F7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-- example: guarantee a step cannot claim a different workspace than its document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alter table document_steps</w:t>
      </w:r>
    </w:p>
    <w:p>
      <w:pPr>
        <w:shd w:fill="F4F5F7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add constraint ck_step_ws check (workspace_id is not null);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MySQL 8.4 check constraints cannot reference another table, so cross-table workspace consistency is asserted in tests, not in the schema. The conformance test in §7.3 covers it.</w:t>
      </w: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color w:val="1A1A1A"/>
          <w:sz w:val="23"/>
          <w:szCs w:val="23"/>
        </w:rPr>
        <w:t xml:space="preserve">7.2 What the application must guarantee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88"/>
        <w:gridCol w:w="6072"/>
      </w:tblGrid>
      <w:tr>
        <w:trPr>
          <w:tblHeader/>
        </w:trPr>
        <w:tc>
          <w:tcPr>
            <w:tcW w:type="dxa" w:w="328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Rule</w:t>
            </w:r>
          </w:p>
        </w:tc>
        <w:tc>
          <w:tcPr>
            <w:tcW w:type="dxa" w:w="607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Mechanism</w:t>
            </w:r>
          </w:p>
        </w:tc>
      </w:tr>
      <w:tr>
        <w:tc>
          <w:tcPr>
            <w:tcW w:type="dxa" w:w="328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Reads are workspace-scoped</w:t>
            </w:r>
          </w:p>
        </w:tc>
        <w:tc>
          <w:tcPr>
            <w:tcW w:type="dxa" w:w="607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TenantModel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global scope on every tenant model</w:t>
            </w:r>
          </w:p>
        </w:tc>
      </w:tr>
      <w:tr>
        <w:tc>
          <w:tcPr>
            <w:tcW w:type="dxa" w:w="328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Writes set </w:t>
            </w: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workspace_id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from context</w:t>
            </w:r>
          </w:p>
        </w:tc>
        <w:tc>
          <w:tcPr>
            <w:tcW w:type="dxa" w:w="607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Model </w:t>
            </w: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creating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hook; request payload value ignored</w:t>
            </w:r>
          </w:p>
        </w:tc>
      </w:tr>
      <w:tr>
        <w:tc>
          <w:tcPr>
            <w:tcW w:type="dxa" w:w="328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No raw unscoped queries</w:t>
            </w:r>
          </w:p>
        </w:tc>
        <w:tc>
          <w:tcPr>
            <w:tcW w:type="dxa" w:w="607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Static analysis rule, with an explicit allowlist</w:t>
            </w:r>
          </w:p>
        </w:tc>
      </w:tr>
      <w:tr>
        <w:tc>
          <w:tcPr>
            <w:tcW w:type="dxa" w:w="328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Space-level access</w:t>
            </w:r>
          </w:p>
        </w:tc>
        <w:tc>
          <w:tcPr>
            <w:tcW w:type="dxa" w:w="607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Laravel Policies, evaluated per document</w:t>
            </w:r>
          </w:p>
        </w:tc>
      </w:tr>
      <w:tr>
        <w:tc>
          <w:tcPr>
            <w:tcW w:type="dxa" w:w="328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Retrieval scoped independently</w:t>
            </w:r>
          </w:p>
        </w:tc>
        <w:tc>
          <w:tcPr>
            <w:tcW w:type="dxa" w:w="607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Vector index metadata filter on </w:t>
            </w: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workspace_id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space_id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state</w:t>
            </w:r>
          </w:p>
        </w:tc>
      </w:tr>
    </w:tbl>
    <w:p>
      <w:pPr>
        <w:spacing w:after="160"/>
      </w:pP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color w:val="1A1A1A"/>
          <w:sz w:val="23"/>
          <w:szCs w:val="23"/>
        </w:rPr>
        <w:t xml:space="preserve">7.3 The conformance test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 single test enumerates the live schema and asserts, for every table not on the global allowlist: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workspace_id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column exists and is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not null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;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an index exists with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workspace_id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as its first column;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 corresponding Eloquent model exists and extends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TenantModel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;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its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workspace_id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is not in the model's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$fillable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.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This test is the replacement for RLS and must never be skipped to unblock a release.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Under RLS a missing filter returned nothing; here a missing scope returns every tenant's rows. The failure mode inverted, so the test carries the weight the database used to.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The global allowlist is short and every entry needs justification in review: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users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migrations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failed_jobs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password_reset_tokens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personal_access_tokens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sessions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and the custom stopword table.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Migration order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Laravel migrations, in this sequence: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workspaces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users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workspace_members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workspace_invites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spaces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space_members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folders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documents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document_versions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then the two deferred foreign keys on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documents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document_steps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recordings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transcripts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recording_segments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media_assets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pipeline_jobs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document_chunks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approvals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acknowledgements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chat_sessions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chat_messages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subscriptions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usage_counters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audit_log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Stopword table and full-text index on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documents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Grant revocation on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audit_log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Seed data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Step 3 needs care: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documents.approved_version_id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references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document_versions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and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document_versions.document_id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references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documents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. Create both tables first, then add both foreign keys.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documents.source_recording_id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waits for step 5.</w:t>
      </w:r>
    </w:p>
    <w:sectPr>
      <w:headerReference w:type="default" r:id="rId7"/>
      <w:footerReference w:type="default" r:id="rId8"/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B6B6B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4D4D4" w:sz="4" w:space="6"/>
      </w:pBdr>
      <w:tabs>
        <w:tab w:val="right" w:pos="9360"/>
      </w:tabs>
      <w:spacing w:after="200"/>
    </w:pPr>
    <w:r>
      <w:rPr>
        <w:rFonts w:ascii="Calibri" w:cs="Calibri" w:eastAsia="Calibri" w:hAnsi="Calibri"/>
        <w:color w:val="6B6B6B"/>
        <w:sz w:val="16"/>
        <w:szCs w:val="16"/>
      </w:rPr>
      <w:t xml:space="preserve">FlowZapp</w:t>
    </w:r>
    <w:r>
      <w:rPr>
        <w:rFonts w:ascii="Calibri" w:cs="Calibri" w:eastAsia="Calibri" w:hAnsi="Calibri"/>
        <w:color w:val="6B6B6B"/>
        <w:sz w:val="16"/>
        <w:szCs w:val="16"/>
      </w:rPr>
      <w:t xml:space="preserve">	Database Schema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</w:lvl>
    <w:lvl w:ilvl="1" w15:tentative="1">
      <w:start w:val="1"/>
      <w:numFmt w:val="bullet"/>
      <w:lvlText w:val="◦"/>
      <w:lvlJc w:val="left"/>
      <w:pPr>
        <w:ind w:left="720" w:hanging="2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Database Schema</dc:title>
  <dc:creator>Project Documentation</dc:creator>
  <dc:description>PostgreSQL DDL, RLS policies and migration order</dc:description>
  <cp:lastModifiedBy>Un-named</cp:lastModifiedBy>
  <cp:revision>1</cp:revision>
  <dcterms:created xsi:type="dcterms:W3CDTF">2026-09-16T05:19:00.926Z</dcterms:created>
  <dcterms:modified xsi:type="dcterms:W3CDTF">2026-09-16T05:19:00.926Z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