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/>
      </w:pPr>
    </w:p>
    <w:p>
      <w:pPr>
        <w:spacing w:after="200"/>
      </w:pPr>
      <w:r>
        <w:rPr>
          <w:rFonts w:ascii="Calibri" w:cs="Calibri" w:eastAsia="Calibri" w:hAnsi="Calibri"/>
          <w:b/>
          <w:bCs/>
          <w:color w:val="6B6B6B"/>
          <w:spacing w:val="60"/>
          <w:sz w:val="18"/>
          <w:szCs w:val="18"/>
        </w:rPr>
        <w:t xml:space="preserve">FLOWZAPP</w:t>
      </w:r>
    </w:p>
    <w:p>
      <w:pPr>
        <w:spacing w:after="160"/>
      </w:pPr>
      <w:r>
        <w:rPr>
          <w:rFonts w:ascii="Calibri Light" w:cs="Calibri Light" w:eastAsia="Calibri Light" w:hAnsi="Calibri Light"/>
          <w:b/>
          <w:bCs/>
          <w:color w:val="1E2761"/>
          <w:sz w:val="52"/>
          <w:szCs w:val="52"/>
        </w:rPr>
        <w:t xml:space="preserve">Project Overview</w:t>
      </w:r>
    </w:p>
    <w:p>
      <w:pPr>
        <w:pBdr>
          <w:top w:val="single" w:color="D4D4D4" w:sz="6" w:space="12"/>
        </w:pBdr>
        <w:spacing w:after="200" w:before="160"/>
      </w:pPr>
      <w:r>
        <w:rPr>
          <w:rFonts w:ascii="Calibri" w:cs="Calibri" w:eastAsia="Calibri" w:hAnsi="Calibri"/>
          <w:color w:val="6B6B6B"/>
          <w:sz w:val="24"/>
          <w:szCs w:val="24"/>
        </w:rPr>
        <w:t xml:space="preserve">What FlowZapp is, who it is for, and where the project stands</w:t>
      </w:r>
    </w:p>
    <w:p>
      <w:r>
        <w:rPr>
          <w:rFonts w:ascii="Calibri" w:cs="Calibri" w:eastAsia="Calibri" w:hAnsi="Calibri"/>
          <w:color w:val="6B6B6B"/>
          <w:sz w:val="20"/>
          <w:szCs w:val="20"/>
        </w:rPr>
        <w:t xml:space="preserve">Version 1.0  ·  Project documentation  ·  2026</w:t>
      </w:r>
    </w:p>
    <w:p>
      <w:r>
        <w:br w:type="page"/>
      </w:r>
    </w:p>
    <w:p>
      <w:pPr>
        <w:pStyle w:val="Heading2"/>
        <w:spacing w:after="140" w:before="320"/>
      </w:pPr>
      <w:r>
        <w:rPr>
          <w:rFonts w:ascii="Calibri Light" w:cs="Calibri Light" w:eastAsia="Calibri Light" w:hAnsi="Calibri Light"/>
          <w:b/>
          <w:bCs/>
          <w:color w:val="1E2761"/>
          <w:sz w:val="28"/>
          <w:szCs w:val="28"/>
        </w:rPr>
        <w:t xml:space="preserve">In one paragraph</w:t>
      </w:r>
    </w:p>
    <w:p>
      <w:pPr>
        <w:spacing w:after="140" w:before="60" w:line="276"/>
      </w:pPr>
      <w:r>
        <w:rPr>
          <w:rFonts w:ascii="Calibri" w:cs="Calibri" w:eastAsia="Calibri" w:hAnsi="Calibri"/>
          <w:color w:val="1E2761"/>
          <w:sz w:val="20"/>
          <w:szCs w:val="20"/>
        </w:rPr>
        <w:t xml:space="preserve">FlowZapp turns screen recordings into approved, searchable standard operating procedures. Someone records themselves doing a process once; FlowZapp transcribes it, splits it into steps, captures screenshots and returns a drafted procedure. A named owner verifies and approves it. From then on, anyone can ask a question in plain language and get the answer with a citation back to the approved step it came from.</w:t>
      </w:r>
    </w:p>
    <w:p>
      <w:pPr>
        <w:pStyle w:val="Heading2"/>
        <w:spacing w:after="140" w:before="320"/>
      </w:pPr>
      <w:r>
        <w:rPr>
          <w:rFonts w:ascii="Calibri Light" w:cs="Calibri Light" w:eastAsia="Calibri Light" w:hAnsi="Calibri Light"/>
          <w:b/>
          <w:bCs/>
          <w:color w:val="1E2761"/>
          <w:sz w:val="28"/>
          <w:szCs w:val="28"/>
        </w:rPr>
        <w:t xml:space="preserve">The problem</w:t>
      </w:r>
    </w:p>
    <w:p>
      <w:pPr>
        <w:spacing w:after="140" w:before="60" w:line="276"/>
      </w:pPr>
      <w:r>
        <w:rPr>
          <w:rFonts w:ascii="Calibri" w:cs="Calibri" w:eastAsia="Calibri" w:hAnsi="Calibri"/>
          <w:color w:val="1E2761"/>
          <w:sz w:val="20"/>
          <w:szCs w:val="20"/>
        </w:rPr>
        <w:t xml:space="preserve">Companies already have their knowledge. It sits across Google Docs, Notion, PDFs, email and chat — four tools, four search boxes, no owner and no version. The person who needs an answer either interrupts a colleague or guesses.</w:t>
      </w:r>
    </w:p>
    <w:p>
      <w:pPr>
        <w:spacing w:after="140" w:before="60" w:line="276"/>
      </w:pPr>
      <w:r>
        <w:rPr>
          <w:rFonts w:ascii="Calibri" w:cs="Calibri" w:eastAsia="Calibri" w:hAnsi="Calibri"/>
          <w:color w:val="1E2761"/>
          <w:sz w:val="20"/>
          <w:szCs w:val="20"/>
        </w:rPr>
        <w:t xml:space="preserve">Five costs follow, and every target buyer feels at least two: senior staff answering the same question weekly, new hires shadowing instead of self-serving, two teams running two versions of one process, no approval trail when an auditor asks, and a resignation erasing a process outright.</w:t>
      </w:r>
    </w:p>
    <w:p>
      <w:pPr>
        <w:spacing w:after="140" w:before="60" w:line="276"/>
      </w:pPr>
      <w:r>
        <w:rPr>
          <w:rFonts w:ascii="Calibri" w:cs="Calibri" w:eastAsia="Calibri" w:hAnsi="Calibri"/>
          <w:color w:val="1E2761"/>
          <w:sz w:val="20"/>
          <w:szCs w:val="20"/>
        </w:rPr>
        <w:t xml:space="preserve">The root cause is not storage. Wikis solved storage twenty years ago. The root cause is that </w:t>
      </w:r>
      <w:r>
        <w:rPr>
          <w:rFonts w:ascii="Calibri" w:cs="Calibri" w:eastAsia="Calibri" w:hAnsi="Calibri"/>
          <w:b/>
          <w:bCs/>
          <w:color w:val="1E2761"/>
          <w:sz w:val="20"/>
          <w:szCs w:val="20"/>
        </w:rPr>
        <w:t xml:space="preserve">nobody writes the page, nobody trusts it once written, and nobody can find it afterwards.</w:t>
      </w:r>
    </w:p>
    <w:p>
      <w:pPr>
        <w:pStyle w:val="Heading2"/>
        <w:spacing w:after="140" w:before="320"/>
      </w:pPr>
      <w:r>
        <w:rPr>
          <w:rFonts w:ascii="Calibri Light" w:cs="Calibri Light" w:eastAsia="Calibri Light" w:hAnsi="Calibri Light"/>
          <w:b/>
          <w:bCs/>
          <w:color w:val="1E2761"/>
          <w:sz w:val="28"/>
          <w:szCs w:val="28"/>
        </w:rPr>
        <w:t xml:space="preserve">How it works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2"/>
        <w:gridCol w:w="1770"/>
        <w:gridCol w:w="6758"/>
      </w:tblGrid>
      <w:tr>
        <w:trPr>
          <w:cantSplit/>
          <w:tblHeader/>
        </w:trPr>
        <w:tc>
          <w:tcPr>
            <w:tcW w:type="dxa" w:w="832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770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Step</w:t>
            </w:r>
          </w:p>
        </w:tc>
        <w:tc>
          <w:tcPr>
            <w:tcW w:type="dxa" w:w="675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What happens</w:t>
            </w:r>
          </w:p>
        </w:tc>
      </w:tr>
      <w:tr>
        <w:trPr>
          <w:cantSplit/>
        </w:trPr>
        <w:tc>
          <w:tcPr>
            <w:tcW w:type="dxa" w:w="832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1</w:t>
            </w:r>
          </w:p>
        </w:tc>
        <w:tc>
          <w:tcPr>
            <w:tcW w:type="dxa" w:w="1770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Record</w:t>
            </w:r>
          </w:p>
        </w:tc>
        <w:tc>
          <w:tcPr>
            <w:tcW w:type="dxa" w:w="675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A contributor records their screen and voice doing the process</w:t>
            </w:r>
          </w:p>
        </w:tc>
      </w:tr>
      <w:tr>
        <w:trPr>
          <w:cantSplit/>
        </w:trPr>
        <w:tc>
          <w:tcPr>
            <w:tcW w:type="dxa" w:w="832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2</w:t>
            </w:r>
          </w:p>
        </w:tc>
        <w:tc>
          <w:tcPr>
            <w:tcW w:type="dxa" w:w="1770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Transcribe &amp; extract</w:t>
            </w:r>
          </w:p>
        </w:tc>
        <w:tc>
          <w:tcPr>
            <w:tcW w:type="dxa" w:w="675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Audio becomes text with timestamps; the recording is split into discrete actions</w:t>
            </w:r>
          </w:p>
        </w:tc>
      </w:tr>
      <w:tr>
        <w:trPr>
          <w:cantSplit/>
        </w:trPr>
        <w:tc>
          <w:tcPr>
            <w:tcW w:type="dxa" w:w="832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3</w:t>
            </w:r>
          </w:p>
        </w:tc>
        <w:tc>
          <w:tcPr>
            <w:tcW w:type="dxa" w:w="1770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Draft</w:t>
            </w:r>
          </w:p>
        </w:tc>
        <w:tc>
          <w:tcPr>
            <w:tcW w:type="dxa" w:w="675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A structured procedure is generated: purpose, scope, numbered steps, screenshots, warnings</w:t>
            </w:r>
          </w:p>
        </w:tc>
      </w:tr>
      <w:tr>
        <w:trPr>
          <w:cantSplit/>
        </w:trPr>
        <w:tc>
          <w:tcPr>
            <w:tcW w:type="dxa" w:w="832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4</w:t>
            </w:r>
          </w:p>
        </w:tc>
        <w:tc>
          <w:tcPr>
            <w:tcW w:type="dxa" w:w="1770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Review &amp; approve</w:t>
            </w:r>
          </w:p>
        </w:tc>
        <w:tc>
          <w:tcPr>
            <w:tcW w:type="dxa" w:w="675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The contributor verifies each step against the recording; a named owner approves and publishes</w:t>
            </w:r>
          </w:p>
        </w:tc>
      </w:tr>
      <w:tr>
        <w:trPr>
          <w:cantSplit/>
        </w:trPr>
        <w:tc>
          <w:tcPr>
            <w:tcW w:type="dxa" w:w="832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5</w:t>
            </w:r>
          </w:p>
        </w:tc>
        <w:tc>
          <w:tcPr>
            <w:tcW w:type="dxa" w:w="1770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Answer</w:t>
            </w:r>
          </w:p>
        </w:tc>
        <w:tc>
          <w:tcPr>
            <w:tcW w:type="dxa" w:w="675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Employees ask questions; the assistant answers from approved content only, with citations</w:t>
            </w:r>
          </w:p>
        </w:tc>
      </w:tr>
    </w:tbl>
    <w:p>
      <w:pPr>
        <w:spacing w:after="160"/>
      </w:pPr>
    </w:p>
    <w:p>
      <w:pPr>
        <w:spacing w:after="140" w:before="60" w:line="276"/>
      </w:pPr>
      <w:r>
        <w:rPr>
          <w:rFonts w:ascii="Calibri" w:cs="Calibri" w:eastAsia="Calibri" w:hAnsi="Calibri"/>
          <w:color w:val="1E2761"/>
          <w:sz w:val="20"/>
          <w:szCs w:val="20"/>
        </w:rPr>
        <w:t xml:space="preserve">Step 4 is what separates this from a transcription tool. Nothing becomes an answer until a person has checked it and an owner has signed it off.</w:t>
      </w:r>
    </w:p>
    <w:p>
      <w:pPr>
        <w:pStyle w:val="Heading2"/>
        <w:spacing w:after="140" w:before="320"/>
      </w:pPr>
      <w:r>
        <w:rPr>
          <w:rFonts w:ascii="Calibri Light" w:cs="Calibri Light" w:eastAsia="Calibri Light" w:hAnsi="Calibri Light"/>
          <w:b/>
          <w:bCs/>
          <w:color w:val="1E2761"/>
          <w:sz w:val="28"/>
          <w:szCs w:val="28"/>
        </w:rPr>
        <w:t xml:space="preserve">Who it's for</w:t>
      </w:r>
    </w:p>
    <w:p>
      <w:pPr>
        <w:spacing w:after="140" w:before="60" w:line="276"/>
      </w:pPr>
      <w:r>
        <w:rPr>
          <w:rFonts w:ascii="Calibri" w:cs="Calibri" w:eastAsia="Calibri" w:hAnsi="Calibri"/>
          <w:b/>
          <w:bCs/>
          <w:color w:val="1E2761"/>
          <w:sz w:val="20"/>
          <w:szCs w:val="20"/>
        </w:rPr>
        <w:t xml:space="preserve">Beachhead:</w:t>
      </w:r>
      <w:r>
        <w:rPr>
          <w:rFonts w:ascii="Calibri" w:cs="Calibri" w:eastAsia="Calibri" w:hAnsi="Calibri"/>
          <w:color w:val="1E2761"/>
          <w:sz w:val="20"/>
          <w:szCs w:val="20"/>
        </w:rPr>
        <w:t xml:space="preserve"> agencies and operations teams of 10–200 people. Enough process to hurt, and no compliance procurement cycle — that second half is the actual selection criterion.</w:t>
      </w:r>
    </w:p>
    <w:p>
      <w:pPr>
        <w:spacing w:after="140" w:before="60" w:line="276"/>
      </w:pPr>
      <w:r>
        <w:rPr>
          <w:rFonts w:ascii="Calibri" w:cs="Calibri" w:eastAsia="Calibri" w:hAnsi="Calibri"/>
          <w:b/>
          <w:bCs/>
          <w:color w:val="1E2761"/>
          <w:sz w:val="20"/>
          <w:szCs w:val="20"/>
        </w:rPr>
        <w:t xml:space="preserve">Fast follow:</w:t>
      </w:r>
      <w:r>
        <w:rPr>
          <w:rFonts w:ascii="Calibri" w:cs="Calibri" w:eastAsia="Calibri" w:hAnsi="Calibri"/>
          <w:color w:val="1E2761"/>
          <w:sz w:val="20"/>
          <w:szCs w:val="20"/>
        </w:rPr>
        <w:t xml:space="preserve"> IT companies (runbooks), HR (handbook and onboarding), customer support (escalation paths).</w:t>
      </w:r>
    </w:p>
    <w:p>
      <w:pPr>
        <w:spacing w:after="140" w:before="60" w:line="276"/>
      </w:pPr>
      <w:r>
        <w:rPr>
          <w:rFonts w:ascii="Calibri" w:cs="Calibri" w:eastAsia="Calibri" w:hAnsi="Calibri"/>
          <w:b/>
          <w:bCs/>
          <w:color w:val="1E2761"/>
          <w:sz w:val="20"/>
          <w:szCs w:val="20"/>
        </w:rPr>
        <w:t xml:space="preserve">Later, high value, slow to buy:</w:t>
      </w:r>
      <w:r>
        <w:rPr>
          <w:rFonts w:ascii="Calibri" w:cs="Calibri" w:eastAsia="Calibri" w:hAnsi="Calibri"/>
          <w:color w:val="1E2761"/>
          <w:sz w:val="20"/>
          <w:szCs w:val="20"/>
        </w:rPr>
        <w:t xml:space="preserve"> manufacturing work instructions, healthcare protocol control.</w:t>
      </w:r>
    </w:p>
    <w:p>
      <w:pPr>
        <w:pStyle w:val="Heading2"/>
        <w:spacing w:after="140" w:before="320"/>
      </w:pPr>
      <w:r>
        <w:rPr>
          <w:rFonts w:ascii="Calibri Light" w:cs="Calibri Light" w:eastAsia="Calibri Light" w:hAnsi="Calibri Light"/>
          <w:b/>
          <w:bCs/>
          <w:color w:val="1E2761"/>
          <w:sz w:val="28"/>
          <w:szCs w:val="28"/>
        </w:rPr>
        <w:t xml:space="preserve">What makes it defensible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E2761"/>
          <w:sz w:val="20"/>
          <w:szCs w:val="20"/>
        </w:rPr>
        <w:t xml:space="preserve">Creation costs near zero.</w:t>
      </w:r>
      <w:r>
        <w:rPr>
          <w:rFonts w:ascii="Calibri" w:cs="Calibri" w:eastAsia="Calibri" w:hAnsi="Calibri"/>
          <w:color w:val="1E2761"/>
          <w:sz w:val="20"/>
          <w:szCs w:val="20"/>
        </w:rPr>
        <w:t xml:space="preserve"> Wikis assume someone will write the page. FlowZapp generates the first draft from a recording, so documentation actually gets created.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E2761"/>
          <w:sz w:val="20"/>
          <w:szCs w:val="20"/>
        </w:rPr>
        <w:t xml:space="preserve">Answers, not documents.</w:t>
      </w:r>
      <w:r>
        <w:rPr>
          <w:rFonts w:ascii="Calibri" w:cs="Calibri" w:eastAsia="Calibri" w:hAnsi="Calibri"/>
          <w:color w:val="1E2761"/>
          <w:sz w:val="20"/>
          <w:szCs w:val="20"/>
        </w:rPr>
        <w:t xml:space="preserve"> Search returns links. FlowZapp returns the step, cited.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E2761"/>
          <w:sz w:val="20"/>
          <w:szCs w:val="20"/>
        </w:rPr>
        <w:t xml:space="preserve">Governance is a core object.</w:t>
      </w:r>
      <w:r>
        <w:rPr>
          <w:rFonts w:ascii="Calibri" w:cs="Calibri" w:eastAsia="Calibri" w:hAnsi="Calibri"/>
          <w:color w:val="1E2761"/>
          <w:sz w:val="20"/>
          <w:szCs w:val="20"/>
        </w:rPr>
        <w:t xml:space="preserve"> Owner, approver, version and state exist on every document from day one, not as a plugin.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E2761"/>
          <w:sz w:val="20"/>
          <w:szCs w:val="20"/>
        </w:rPr>
        <w:t xml:space="preserve">Priced for the whole team.</w:t>
      </w:r>
      <w:r>
        <w:rPr>
          <w:rFonts w:ascii="Calibri" w:cs="Calibri" w:eastAsia="Calibri" w:hAnsi="Calibri"/>
          <w:color w:val="1E2761"/>
          <w:sz w:val="20"/>
          <w:szCs w:val="20"/>
        </w:rPr>
        <w:t xml:space="preserve"> A flat team tier makes rollout to everyone cheap — which is exactly when a knowledge base starts working.</w:t>
      </w:r>
    </w:p>
    <w:p>
      <w:pPr>
        <w:spacing w:after="140" w:before="60" w:line="276"/>
      </w:pPr>
      <w:r>
        <w:rPr>
          <w:rFonts w:ascii="Calibri" w:cs="Calibri" w:eastAsia="Calibri" w:hAnsi="Calibri"/>
          <w:color w:val="1E2761"/>
          <w:sz w:val="20"/>
          <w:szCs w:val="20"/>
        </w:rPr>
        <w:t xml:space="preserve">Any one of those is copyable. The combination is the moat.</w:t>
      </w:r>
    </w:p>
    <w:p>
      <w:pPr>
        <w:pStyle w:val="Heading2"/>
        <w:spacing w:after="140" w:before="320"/>
      </w:pPr>
      <w:r>
        <w:rPr>
          <w:rFonts w:ascii="Calibri Light" w:cs="Calibri Light" w:eastAsia="Calibri Light" w:hAnsi="Calibri Light"/>
          <w:b/>
          <w:bCs/>
          <w:color w:val="1E2761"/>
          <w:sz w:val="28"/>
          <w:szCs w:val="28"/>
        </w:rPr>
        <w:t xml:space="preserve">Commercial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8"/>
        <w:gridCol w:w="1975"/>
        <w:gridCol w:w="2822"/>
        <w:gridCol w:w="3435"/>
      </w:tblGrid>
      <w:tr>
        <w:trPr>
          <w:cantSplit/>
          <w:tblHeader/>
        </w:trPr>
        <w:tc>
          <w:tcPr>
            <w:tcW w:type="dxa" w:w="112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97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Free</w:t>
            </w:r>
          </w:p>
        </w:tc>
        <w:tc>
          <w:tcPr>
            <w:tcW w:type="dxa" w:w="2822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Pro</w:t>
            </w:r>
          </w:p>
        </w:tc>
        <w:tc>
          <w:tcPr>
            <w:tcW w:type="dxa" w:w="343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Team</w:t>
            </w:r>
          </w:p>
        </w:tc>
      </w:tr>
      <w:tr>
        <w:trPr>
          <w:cantSplit/>
        </w:trPr>
        <w:tc>
          <w:tcPr>
            <w:tcW w:type="dxa" w:w="112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Price</w:t>
            </w:r>
          </w:p>
        </w:tc>
        <w:tc>
          <w:tcPr>
            <w:tcW w:type="dxa" w:w="197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$0</w:t>
            </w:r>
          </w:p>
        </w:tc>
        <w:tc>
          <w:tcPr>
            <w:tcW w:type="dxa" w:w="2822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$19 / user / month</w:t>
            </w:r>
          </w:p>
        </w:tc>
        <w:tc>
          <w:tcPr>
            <w:tcW w:type="dxa" w:w="343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$59 / month, 10 seats</w:t>
            </w:r>
          </w:p>
        </w:tc>
      </w:tr>
      <w:tr>
        <w:trPr>
          <w:cantSplit/>
        </w:trPr>
        <w:tc>
          <w:tcPr>
            <w:tcW w:type="dxa" w:w="112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Role</w:t>
            </w:r>
          </w:p>
        </w:tc>
        <w:tc>
          <w:tcPr>
            <w:tcW w:type="dxa" w:w="197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Get the team in</w:t>
            </w:r>
          </w:p>
        </w:tc>
        <w:tc>
          <w:tcPr>
            <w:tcW w:type="dxa" w:w="2822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Convert the champion</w:t>
            </w:r>
          </w:p>
        </w:tc>
        <w:tc>
          <w:tcPr>
            <w:tcW w:type="dxa" w:w="343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Monetise the rollout</w:t>
            </w:r>
          </w:p>
        </w:tc>
      </w:tr>
      <w:tr>
        <w:trPr>
          <w:cantSplit/>
        </w:trPr>
        <w:tc>
          <w:tcPr>
            <w:tcW w:type="dxa" w:w="112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Cap</w:t>
            </w:r>
          </w:p>
        </w:tc>
        <w:tc>
          <w:tcPr>
            <w:tcW w:type="dxa" w:w="197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50 documents, 3 users</w:t>
            </w:r>
          </w:p>
        </w:tc>
        <w:tc>
          <w:tcPr>
            <w:tcW w:type="dxa" w:w="2822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Unlimited, per seat</w:t>
            </w:r>
          </w:p>
        </w:tc>
        <w:tc>
          <w:tcPr>
            <w:tcW w:type="dxa" w:w="343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Unlimited, 10 seats included</w:t>
            </w:r>
          </w:p>
        </w:tc>
      </w:tr>
    </w:tbl>
    <w:p>
      <w:pPr>
        <w:spacing w:after="160"/>
      </w:pPr>
    </w:p>
    <w:p>
      <w:pPr>
        <w:spacing w:after="140" w:before="60" w:line="276"/>
      </w:pPr>
      <w:r>
        <w:rPr>
          <w:rFonts w:ascii="Calibri" w:cs="Calibri" w:eastAsia="Calibri" w:hAnsi="Calibri"/>
          <w:color w:val="1E2761"/>
          <w:sz w:val="20"/>
          <w:szCs w:val="20"/>
        </w:rPr>
        <w:t xml:space="preserve">Free is capped on </w:t>
      </w:r>
      <w:r>
        <w:rPr>
          <w:rFonts w:ascii="Calibri" w:cs="Calibri" w:eastAsia="Calibri" w:hAnsi="Calibri"/>
          <w:b/>
          <w:bCs/>
          <w:color w:val="1E2761"/>
          <w:sz w:val="20"/>
          <w:szCs w:val="20"/>
        </w:rPr>
        <w:t xml:space="preserve">documents rather than features</w:t>
      </w:r>
      <w:r>
        <w:rPr>
          <w:rFonts w:ascii="Calibri" w:cs="Calibri" w:eastAsia="Calibri" w:hAnsi="Calibri"/>
          <w:color w:val="1E2761"/>
          <w:sz w:val="20"/>
          <w:szCs w:val="20"/>
        </w:rPr>
        <w:t xml:space="preserve">, so the AI value is visible before the paywall. The Team tier is the real product: a knowledge base only works when everyone can read it, and per-seat pricing fights that.</w:t>
      </w:r>
    </w:p>
    <w:p>
      <w:pPr>
        <w:pStyle w:val="Heading2"/>
        <w:spacing w:after="140" w:before="320"/>
      </w:pPr>
      <w:r>
        <w:rPr>
          <w:rFonts w:ascii="Calibri Light" w:cs="Calibri Light" w:eastAsia="Calibri Light" w:hAnsi="Calibri Light"/>
          <w:b/>
          <w:bCs/>
          <w:color w:val="1E2761"/>
          <w:sz w:val="28"/>
          <w:szCs w:val="28"/>
        </w:rPr>
        <w:t xml:space="preserve">Technology</w:t>
      </w:r>
    </w:p>
    <w:p>
      <w:pPr>
        <w:spacing w:after="140" w:before="60" w:line="276"/>
      </w:pPr>
      <w:r>
        <w:rPr>
          <w:rFonts w:ascii="Calibri" w:cs="Calibri" w:eastAsia="Calibri" w:hAnsi="Calibri"/>
          <w:color w:val="1E2761"/>
          <w:sz w:val="20"/>
          <w:szCs w:val="20"/>
        </w:rPr>
        <w:t xml:space="preserve">Angular 21 + PrimeNG on Laravel 12 / PHP 8.3, MySQL 8.4 and Valkey 8 (both DigitalOcean managed, TLS required), DigitalOcean Spaces for media, and the Claude API behind a driver interface for generation. Hosted on DigitalOcean App Platform. Development is AI-assisted through Claude Code and Claude Cowork with </w:t>
      </w:r>
      <w:r>
        <w:rPr>
          <w:rFonts w:ascii="Consolas" w:cs="Consolas" w:eastAsia="Consolas" w:hAnsi="Consolas"/>
          <w:color w:val="0B3D2E"/>
          <w:sz w:val="18"/>
          <w:szCs w:val="18"/>
          <w:shd w:fill="F4F5F7" w:val="clear"/>
        </w:rPr>
        <w:t xml:space="preserve">CLAUDE.md</w:t>
      </w:r>
      <w:r>
        <w:rPr>
          <w:rFonts w:ascii="Calibri" w:cs="Calibri" w:eastAsia="Calibri" w:hAnsi="Calibri"/>
          <w:color w:val="1E2761"/>
          <w:sz w:val="20"/>
          <w:szCs w:val="20"/>
        </w:rPr>
        <w:t xml:space="preserve"> as the standing contract.</w:t>
      </w:r>
    </w:p>
    <w:p>
      <w:pPr>
        <w:spacing w:after="140" w:before="60" w:line="276"/>
      </w:pPr>
      <w:r>
        <w:rPr>
          <w:rFonts w:ascii="Calibri" w:cs="Calibri" w:eastAsia="Calibri" w:hAnsi="Calibri"/>
          <w:color w:val="1E2761"/>
          <w:sz w:val="20"/>
          <w:szCs w:val="20"/>
        </w:rPr>
        <w:t xml:space="preserve">Three providers are still to be selected, because the Claude API does not supply them: speech-to-text, embeddings, and a vector store. The first blocks the core flow.</w:t>
      </w:r>
    </w:p>
    <w:p>
      <w:pPr>
        <w:pStyle w:val="Heading2"/>
        <w:spacing w:after="140" w:before="320"/>
      </w:pPr>
      <w:r>
        <w:rPr>
          <w:rFonts w:ascii="Calibri Light" w:cs="Calibri Light" w:eastAsia="Calibri Light" w:hAnsi="Calibri Light"/>
          <w:b/>
          <w:bCs/>
          <w:color w:val="1E2761"/>
          <w:sz w:val="28"/>
          <w:szCs w:val="28"/>
        </w:rPr>
        <w:t xml:space="preserve">Status and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39"/>
        <w:gridCol w:w="5755"/>
        <w:gridCol w:w="1966"/>
      </w:tblGrid>
      <w:tr>
        <w:trPr>
          <w:cantSplit/>
          <w:tblHeader/>
        </w:trPr>
        <w:tc>
          <w:tcPr>
            <w:tcW w:type="dxa" w:w="1639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Milestone</w:t>
            </w:r>
          </w:p>
        </w:tc>
        <w:tc>
          <w:tcPr>
            <w:tcW w:type="dxa" w:w="575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Focus</w:t>
            </w:r>
          </w:p>
        </w:tc>
        <w:tc>
          <w:tcPr>
            <w:tcW w:type="dxa" w:w="196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Bottom-up estimate</w:t>
            </w:r>
          </w:p>
        </w:tc>
      </w:tr>
      <w:tr>
        <w:trPr>
          <w:cantSplit/>
        </w:trPr>
        <w:tc>
          <w:tcPr>
            <w:tcW w:type="dxa" w:w="1639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M0</w:t>
            </w:r>
          </w:p>
        </w:tc>
        <w:tc>
          <w:tcPr>
            <w:tcW w:type="dxa" w:w="575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Auth, tenancy, editor, design system, CI</w:t>
            </w:r>
          </w:p>
        </w:tc>
        <w:tc>
          <w:tcPr>
            <w:tcW w:type="dxa" w:w="196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~5.7 weeks</w:t>
            </w:r>
          </w:p>
        </w:tc>
      </w:tr>
      <w:tr>
        <w:trPr>
          <w:cantSplit/>
        </w:trPr>
        <w:tc>
          <w:tcPr>
            <w:tcW w:type="dxa" w:w="1639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M1</w:t>
            </w:r>
          </w:p>
        </w:tc>
        <w:tc>
          <w:tcPr>
            <w:tcW w:type="dxa" w:w="575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Prove the core flow</w:t>
            </w: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 — capture and generation</w:t>
            </w:r>
          </w:p>
        </w:tc>
        <w:tc>
          <w:tcPr>
            <w:tcW w:type="dxa" w:w="196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~4.9 weeks</w:t>
            </w:r>
          </w:p>
        </w:tc>
      </w:tr>
      <w:tr>
        <w:trPr>
          <w:cantSplit/>
        </w:trPr>
        <w:tc>
          <w:tcPr>
            <w:tcW w:type="dxa" w:w="1639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M2</w:t>
            </w:r>
          </w:p>
        </w:tc>
        <w:tc>
          <w:tcPr>
            <w:tcW w:type="dxa" w:w="575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Five design partners, governance, permissions</w:t>
            </w:r>
          </w:p>
        </w:tc>
        <w:tc>
          <w:tcPr>
            <w:tcW w:type="dxa" w:w="196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~3.9 weeks</w:t>
            </w:r>
          </w:p>
        </w:tc>
      </w:tr>
      <w:tr>
        <w:trPr>
          <w:cantSplit/>
        </w:trPr>
        <w:tc>
          <w:tcPr>
            <w:tcW w:type="dxa" w:w="1639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M3</w:t>
            </w:r>
          </w:p>
        </w:tc>
        <w:tc>
          <w:tcPr>
            <w:tcW w:type="dxa" w:w="575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Retrieval layer: search and cited answers</w:t>
            </w:r>
          </w:p>
        </w:tc>
        <w:tc>
          <w:tcPr>
            <w:tcW w:type="dxa" w:w="196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~4.4 weeks</w:t>
            </w:r>
          </w:p>
        </w:tc>
      </w:tr>
      <w:tr>
        <w:trPr>
          <w:cantSplit/>
        </w:trPr>
        <w:tc>
          <w:tcPr>
            <w:tcW w:type="dxa" w:w="1639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M4</w:t>
            </w:r>
          </w:p>
        </w:tc>
        <w:tc>
          <w:tcPr>
            <w:tcW w:type="dxa" w:w="575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Open Pro and Team tiers</w:t>
            </w:r>
          </w:p>
        </w:tc>
        <w:tc>
          <w:tcPr>
            <w:tcW w:type="dxa" w:w="196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~3.1 weeks</w:t>
            </w:r>
          </w:p>
        </w:tc>
      </w:tr>
      <w:tr>
        <w:trPr>
          <w:cantSplit/>
        </w:trPr>
        <w:tc>
          <w:tcPr>
            <w:tcW w:type="dxa" w:w="1639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M5</w:t>
            </w:r>
          </w:p>
        </w:tc>
        <w:tc>
          <w:tcPr>
            <w:tcW w:type="dxa" w:w="575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Analytics, review cadence, pipeline health</w:t>
            </w:r>
          </w:p>
        </w:tc>
        <w:tc>
          <w:tcPr>
            <w:tcW w:type="dxa" w:w="196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ongoing</w:t>
            </w:r>
          </w:p>
        </w:tc>
      </w:tr>
    </w:tbl>
    <w:p>
      <w:pPr>
        <w:spacing w:after="160"/>
      </w:pPr>
    </w:p>
    <w:p>
      <w:pPr>
        <w:spacing w:after="140" w:before="60" w:line="276"/>
      </w:pPr>
      <w:r>
        <w:rPr>
          <w:rFonts w:ascii="Calibri" w:cs="Calibri" w:eastAsia="Calibri" w:hAnsi="Calibri"/>
          <w:color w:val="1E2761"/>
          <w:sz w:val="20"/>
          <w:szCs w:val="20"/>
        </w:rPr>
        <w:t xml:space="preserve">Backlog: </w:t>
      </w:r>
      <w:r>
        <w:rPr>
          <w:rFonts w:ascii="Calibri" w:cs="Calibri" w:eastAsia="Calibri" w:hAnsi="Calibri"/>
          <w:b/>
          <w:bCs/>
          <w:color w:val="1E2761"/>
          <w:sz w:val="20"/>
          <w:szCs w:val="20"/>
        </w:rPr>
        <w:t xml:space="preserve">410 story points across 65 stories and 194 tasks, roughly 1,431 engineering hours.</w:t>
      </w:r>
      <w:r>
        <w:rPr>
          <w:rFonts w:ascii="Calibri" w:cs="Calibri" w:eastAsia="Calibri" w:hAnsi="Calibri"/>
          <w:color w:val="1E2761"/>
          <w:sz w:val="20"/>
          <w:szCs w:val="20"/>
        </w:rPr>
        <w:t xml:space="preserve"> Full breakdown in </w:t>
      </w:r>
      <w:r>
        <w:rPr>
          <w:rFonts w:ascii="Consolas" w:cs="Consolas" w:eastAsia="Consolas" w:hAnsi="Consolas"/>
          <w:color w:val="0B3D2E"/>
          <w:sz w:val="18"/>
          <w:szCs w:val="18"/>
          <w:shd w:fill="F4F5F7" w:val="clear"/>
        </w:rPr>
        <w:t xml:space="preserve">jira-backlog.xlsx</w:t>
      </w:r>
      <w:r>
        <w:rPr>
          <w:rFonts w:ascii="Calibri" w:cs="Calibri" w:eastAsia="Calibri" w:hAnsi="Calibri"/>
          <w:color w:val="1E2761"/>
          <w:sz w:val="20"/>
          <w:szCs w:val="20"/>
        </w:rPr>
        <w:t xml:space="preserve">. Estimates cover engineering only — they exclude discovery, design-partner support, project management and holiday.</w:t>
      </w:r>
    </w:p>
    <w:p>
      <w:pPr>
        <w:pStyle w:val="Heading2"/>
        <w:spacing w:after="140" w:before="320"/>
      </w:pPr>
      <w:r>
        <w:rPr>
          <w:rFonts w:ascii="Calibri Light" w:cs="Calibri Light" w:eastAsia="Calibri Light" w:hAnsi="Calibri Light"/>
          <w:b/>
          <w:bCs/>
          <w:color w:val="1E2761"/>
          <w:sz w:val="28"/>
          <w:szCs w:val="28"/>
        </w:rPr>
        <w:t xml:space="preserve">The three questions that decide this project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b/>
          <w:bCs/>
          <w:color w:val="1E2761"/>
          <w:sz w:val="20"/>
          <w:szCs w:val="20"/>
        </w:rPr>
        <w:t xml:space="preserve">Do generated drafts get approved with light edits, or rewritten from scratch?</w:t>
      </w:r>
      <w:r>
        <w:rPr>
          <w:rFonts w:ascii="Calibri" w:cs="Calibri" w:eastAsia="Calibri" w:hAnsi="Calibri"/>
          <w:color w:val="1E2761"/>
          <w:sz w:val="20"/>
          <w:szCs w:val="20"/>
        </w:rPr>
        <w:t xml:space="preserve"> If the second, the core premise fails and nothing downstream matters. This is a genuine stop condition at M1, not a checkpoint.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b/>
          <w:bCs/>
          <w:color w:val="1E2761"/>
          <w:sz w:val="20"/>
          <w:szCs w:val="20"/>
        </w:rPr>
        <w:t xml:space="preserve">Does the assistant ever answer confidently and wrongly about a company's own process?</w:t>
      </w:r>
      <w:r>
        <w:rPr>
          <w:rFonts w:ascii="Calibri" w:cs="Calibri" w:eastAsia="Calibri" w:hAnsi="Calibri"/>
          <w:color w:val="1E2761"/>
          <w:sz w:val="20"/>
          <w:szCs w:val="20"/>
        </w:rPr>
        <w:t xml:space="preserve"> Trust is spent once. This is why retrieval is restricted to approved content, why every answer carries a citation, and why explicit refusal is a designed feature rather than a fallback.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b/>
          <w:bCs/>
          <w:color w:val="1E2761"/>
          <w:sz w:val="20"/>
          <w:szCs w:val="20"/>
        </w:rPr>
        <w:t xml:space="preserve">Is tenant isolation provably correct without row-level security?</w:t>
      </w:r>
      <w:r>
        <w:rPr>
          <w:rFonts w:ascii="Calibri" w:cs="Calibri" w:eastAsia="Calibri" w:hAnsi="Calibri"/>
          <w:color w:val="1E2761"/>
          <w:sz w:val="20"/>
          <w:szCs w:val="20"/>
        </w:rPr>
        <w:t xml:space="preserve"> Added by the move to MySQL, which has no RLS. Under PostgreSQL a forgotten filter returned nothing; here a forgotten scope returns every tenant's rows. The boundary is now application code plus a schema conformance test in CI.</w:t>
      </w:r>
    </w:p>
    <w:p>
      <w:pPr>
        <w:pStyle w:val="Heading2"/>
        <w:spacing w:after="140" w:before="320"/>
      </w:pPr>
      <w:r>
        <w:rPr>
          <w:rFonts w:ascii="Calibri Light" w:cs="Calibri Light" w:eastAsia="Calibri Light" w:hAnsi="Calibri Light"/>
          <w:b/>
          <w:bCs/>
          <w:color w:val="1E2761"/>
          <w:sz w:val="28"/>
          <w:szCs w:val="28"/>
        </w:rPr>
        <w:t xml:space="preserve">Open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2"/>
        <w:gridCol w:w="6831"/>
        <w:gridCol w:w="1377"/>
      </w:tblGrid>
      <w:tr>
        <w:trPr>
          <w:cantSplit/>
          <w:tblHeader/>
        </w:trPr>
        <w:tc>
          <w:tcPr>
            <w:tcW w:type="dxa" w:w="1152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#</w:t>
            </w:r>
          </w:p>
        </w:tc>
        <w:tc>
          <w:tcPr>
            <w:tcW w:type="dxa" w:w="6831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Decision</w:t>
            </w:r>
          </w:p>
        </w:tc>
        <w:tc>
          <w:tcPr>
            <w:tcW w:type="dxa" w:w="1377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Blocks</w:t>
            </w:r>
          </w:p>
        </w:tc>
      </w:tr>
      <w:tr>
        <w:trPr>
          <w:cantSplit/>
        </w:trPr>
        <w:tc>
          <w:tcPr>
            <w:tcW w:type="dxa" w:w="1152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1</w:t>
            </w:r>
          </w:p>
        </w:tc>
        <w:tc>
          <w:tcPr>
            <w:tcW w:type="dxa" w:w="6831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Speech-to-text provider</w:t>
            </w:r>
          </w:p>
        </w:tc>
        <w:tc>
          <w:tcPr>
            <w:tcW w:type="dxa" w:w="1377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M1 — the core flow</w:t>
            </w:r>
          </w:p>
        </w:tc>
      </w:tr>
      <w:tr>
        <w:trPr>
          <w:cantSplit/>
        </w:trPr>
        <w:tc>
          <w:tcPr>
            <w:tcW w:type="dxa" w:w="1152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2</w:t>
            </w:r>
          </w:p>
        </w:tc>
        <w:tc>
          <w:tcPr>
            <w:tcW w:type="dxa" w:w="6831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Embeddings provider</w:t>
            </w:r>
          </w:p>
        </w:tc>
        <w:tc>
          <w:tcPr>
            <w:tcW w:type="dxa" w:w="1377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M3</w:t>
            </w:r>
          </w:p>
        </w:tc>
      </w:tr>
      <w:tr>
        <w:trPr>
          <w:cantSplit/>
        </w:trPr>
        <w:tc>
          <w:tcPr>
            <w:tcW w:type="dxa" w:w="1152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3</w:t>
            </w:r>
          </w:p>
        </w:tc>
        <w:tc>
          <w:tcPr>
            <w:tcW w:type="dxa" w:w="6831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Vector store: Qdrant self-hosted vs managed Pinecone</w:t>
            </w:r>
          </w:p>
        </w:tc>
        <w:tc>
          <w:tcPr>
            <w:tcW w:type="dxa" w:w="1377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M3</w:t>
            </w:r>
          </w:p>
        </w:tc>
      </w:tr>
      <w:tr>
        <w:trPr>
          <w:cantSplit/>
        </w:trPr>
        <w:tc>
          <w:tcPr>
            <w:tcW w:type="dxa" w:w="1152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4</w:t>
            </w:r>
          </w:p>
        </w:tc>
        <w:tc>
          <w:tcPr>
            <w:tcW w:type="dxa" w:w="6831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Team tier behaviour above 10 seats</w:t>
            </w:r>
          </w:p>
        </w:tc>
        <w:tc>
          <w:tcPr>
            <w:tcW w:type="dxa" w:w="1377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M4 pricing</w:t>
            </w:r>
          </w:p>
        </w:tc>
      </w:tr>
      <w:tr>
        <w:trPr>
          <w:cantSplit/>
        </w:trPr>
        <w:tc>
          <w:tcPr>
            <w:tcW w:type="dxa" w:w="1152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5</w:t>
            </w:r>
          </w:p>
        </w:tc>
        <w:tc>
          <w:tcPr>
            <w:tcW w:type="dxa" w:w="6831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Transactional email to replace Gmail SMTP (~2,000/day cap)</w:t>
            </w:r>
          </w:p>
        </w:tc>
        <w:tc>
          <w:tcPr>
            <w:tcW w:type="dxa" w:w="1377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M4</w:t>
            </w:r>
          </w:p>
        </w:tc>
      </w:tr>
      <w:tr>
        <w:trPr>
          <w:cantSplit/>
        </w:trPr>
        <w:tc>
          <w:tcPr>
            <w:tcW w:type="dxa" w:w="1152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6</w:t>
            </w:r>
          </w:p>
        </w:tc>
        <w:tc>
          <w:tcPr>
            <w:tcW w:type="dxa" w:w="6831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Retain recordings after processing, or discard the video</w:t>
            </w:r>
          </w:p>
        </w:tc>
        <w:tc>
          <w:tcPr>
            <w:tcW w:type="dxa" w:w="1377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M0 schema</w:t>
            </w:r>
          </w:p>
        </w:tc>
      </w:tr>
    </w:tbl>
    <w:p>
      <w:pPr>
        <w:spacing w:after="160"/>
      </w:pPr>
    </w:p>
    <w:p>
      <w:pPr>
        <w:pStyle w:val="Heading2"/>
        <w:spacing w:after="140" w:before="320"/>
      </w:pPr>
      <w:r>
        <w:rPr>
          <w:rFonts w:ascii="Calibri Light" w:cs="Calibri Light" w:eastAsia="Calibri Light" w:hAnsi="Calibri Light"/>
          <w:b/>
          <w:bCs/>
          <w:color w:val="1E2761"/>
          <w:sz w:val="28"/>
          <w:szCs w:val="28"/>
        </w:rPr>
        <w:t xml:space="preserve">Document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98"/>
        <w:gridCol w:w="4088"/>
        <w:gridCol w:w="4174"/>
      </w:tblGrid>
      <w:tr>
        <w:trPr>
          <w:cantSplit/>
          <w:tblHeader/>
        </w:trPr>
        <w:tc>
          <w:tcPr>
            <w:tcW w:type="dxa" w:w="109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#</w:t>
            </w:r>
          </w:p>
        </w:tc>
        <w:tc>
          <w:tcPr>
            <w:tcW w:type="dxa" w:w="408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Document</w:t>
            </w:r>
          </w:p>
        </w:tc>
        <w:tc>
          <w:tcPr>
            <w:tcW w:type="dxa" w:w="4174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For</w:t>
            </w:r>
          </w:p>
        </w:tc>
      </w:tr>
      <w:tr>
        <w:trPr>
          <w:cantSplit/>
        </w:trPr>
        <w:tc>
          <w:tcPr>
            <w:tcW w:type="dxa" w:w="109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12</w:t>
            </w:r>
          </w:p>
        </w:tc>
        <w:tc>
          <w:tcPr>
            <w:tcW w:type="dxa" w:w="408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Project Overview (this document)</w:t>
            </w:r>
          </w:p>
        </w:tc>
        <w:tc>
          <w:tcPr>
            <w:tcW w:type="dxa" w:w="4174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Anyone — start here</w:t>
            </w:r>
          </w:p>
        </w:tc>
      </w:tr>
      <w:tr>
        <w:trPr>
          <w:cantSplit/>
        </w:trPr>
        <w:tc>
          <w:tcPr>
            <w:tcW w:type="dxa" w:w="109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13</w:t>
            </w:r>
          </w:p>
        </w:tc>
        <w:tc>
          <w:tcPr>
            <w:tcW w:type="dxa" w:w="408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Business Requirements (BRD)</w:t>
            </w:r>
          </w:p>
        </w:tc>
        <w:tc>
          <w:tcPr>
            <w:tcW w:type="dxa" w:w="4174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Sponsor and stakeholders — the </w:t>
            </w:r>
            <w:r>
              <w:rPr>
                <w:rFonts w:ascii="Calibri" w:cs="Calibri" w:eastAsia="Calibri" w:hAnsi="Calibri"/>
                <w:i/>
                <w:iCs/>
                <w:color w:val="1E2761"/>
                <w:sz w:val="20"/>
                <w:szCs w:val="20"/>
              </w:rPr>
              <w:t xml:space="preserve">why</w:t>
            </w: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, for sign-off</w:t>
            </w:r>
          </w:p>
        </w:tc>
      </w:tr>
      <w:tr>
        <w:trPr>
          <w:cantSplit/>
        </w:trPr>
        <w:tc>
          <w:tcPr>
            <w:tcW w:type="dxa" w:w="109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14</w:t>
            </w:r>
          </w:p>
        </w:tc>
        <w:tc>
          <w:tcPr>
            <w:tcW w:type="dxa" w:w="408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Functional Specification (FSD)</w:t>
            </w:r>
          </w:p>
        </w:tc>
        <w:tc>
          <w:tcPr>
            <w:tcW w:type="dxa" w:w="4174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Build and UAT — numbered requirements with traceability</w:t>
            </w:r>
          </w:p>
        </w:tc>
      </w:tr>
      <w:tr>
        <w:trPr>
          <w:cantSplit/>
        </w:trPr>
        <w:tc>
          <w:tcPr>
            <w:tcW w:type="dxa" w:w="109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01</w:t>
            </w:r>
          </w:p>
        </w:tc>
        <w:tc>
          <w:tcPr>
            <w:tcW w:type="dxa" w:w="408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Product Requirements (PRD)</w:t>
            </w:r>
          </w:p>
        </w:tc>
        <w:tc>
          <w:tcPr>
            <w:tcW w:type="dxa" w:w="4174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Product team — scope, principles, pricing, metrics</w:t>
            </w:r>
          </w:p>
        </w:tc>
      </w:tr>
      <w:tr>
        <w:trPr>
          <w:cantSplit/>
        </w:trPr>
        <w:tc>
          <w:tcPr>
            <w:tcW w:type="dxa" w:w="109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02</w:t>
            </w:r>
          </w:p>
        </w:tc>
        <w:tc>
          <w:tcPr>
            <w:tcW w:type="dxa" w:w="408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Functional Specification (feature detail)</w:t>
            </w:r>
          </w:p>
        </w:tc>
        <w:tc>
          <w:tcPr>
            <w:tcW w:type="dxa" w:w="4174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Engineering — behaviour and acceptance criteria</w:t>
            </w:r>
          </w:p>
        </w:tc>
      </w:tr>
      <w:tr>
        <w:trPr>
          <w:cantSplit/>
        </w:trPr>
        <w:tc>
          <w:tcPr>
            <w:tcW w:type="dxa" w:w="109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03</w:t>
            </w:r>
          </w:p>
        </w:tc>
        <w:tc>
          <w:tcPr>
            <w:tcW w:type="dxa" w:w="408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Technical Architecture</w:t>
            </w:r>
          </w:p>
        </w:tc>
        <w:tc>
          <w:tcPr>
            <w:tcW w:type="dxa" w:w="4174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Engineering</w:t>
            </w:r>
          </w:p>
        </w:tc>
      </w:tr>
      <w:tr>
        <w:trPr>
          <w:cantSplit/>
        </w:trPr>
        <w:tc>
          <w:tcPr>
            <w:tcW w:type="dxa" w:w="109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04</w:t>
            </w:r>
          </w:p>
        </w:tc>
        <w:tc>
          <w:tcPr>
            <w:tcW w:type="dxa" w:w="408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Database Schema</w:t>
            </w:r>
          </w:p>
        </w:tc>
        <w:tc>
          <w:tcPr>
            <w:tcW w:type="dxa" w:w="4174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Engineering</w:t>
            </w:r>
          </w:p>
        </w:tc>
      </w:tr>
      <w:tr>
        <w:trPr>
          <w:cantSplit/>
        </w:trPr>
        <w:tc>
          <w:tcPr>
            <w:tcW w:type="dxa" w:w="109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05</w:t>
            </w:r>
          </w:p>
        </w:tc>
        <w:tc>
          <w:tcPr>
            <w:tcW w:type="dxa" w:w="408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API Specification</w:t>
            </w:r>
          </w:p>
        </w:tc>
        <w:tc>
          <w:tcPr>
            <w:tcW w:type="dxa" w:w="4174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Engineering, integrators</w:t>
            </w:r>
          </w:p>
        </w:tc>
      </w:tr>
      <w:tr>
        <w:trPr>
          <w:cantSplit/>
        </w:trPr>
        <w:tc>
          <w:tcPr>
            <w:tcW w:type="dxa" w:w="109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06</w:t>
            </w:r>
          </w:p>
        </w:tc>
        <w:tc>
          <w:tcPr>
            <w:tcW w:type="dxa" w:w="408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Product Backlog</w:t>
            </w:r>
          </w:p>
        </w:tc>
        <w:tc>
          <w:tcPr>
            <w:tcW w:type="dxa" w:w="4174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Planning</w:t>
            </w:r>
          </w:p>
        </w:tc>
      </w:tr>
      <w:tr>
        <w:trPr>
          <w:cantSplit/>
        </w:trPr>
        <w:tc>
          <w:tcPr>
            <w:tcW w:type="dxa" w:w="109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07</w:t>
            </w:r>
          </w:p>
        </w:tc>
        <w:tc>
          <w:tcPr>
            <w:tcW w:type="dxa" w:w="408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Roadmap &amp; Milestones</w:t>
            </w:r>
          </w:p>
        </w:tc>
        <w:tc>
          <w:tcPr>
            <w:tcW w:type="dxa" w:w="4174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Sponsor, delivery</w:t>
            </w:r>
          </w:p>
        </w:tc>
      </w:tr>
      <w:tr>
        <w:trPr>
          <w:cantSplit/>
        </w:trPr>
        <w:tc>
          <w:tcPr>
            <w:tcW w:type="dxa" w:w="109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08</w:t>
            </w:r>
          </w:p>
        </w:tc>
        <w:tc>
          <w:tcPr>
            <w:tcW w:type="dxa" w:w="408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QA &amp; Test Plan</w:t>
            </w:r>
          </w:p>
        </w:tc>
        <w:tc>
          <w:tcPr>
            <w:tcW w:type="dxa" w:w="4174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QA</w:t>
            </w:r>
          </w:p>
        </w:tc>
      </w:tr>
      <w:tr>
        <w:trPr>
          <w:cantSplit/>
        </w:trPr>
        <w:tc>
          <w:tcPr>
            <w:tcW w:type="dxa" w:w="109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09</w:t>
            </w:r>
          </w:p>
        </w:tc>
        <w:tc>
          <w:tcPr>
            <w:tcW w:type="dxa" w:w="408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Go-To-Market Plan</w:t>
            </w:r>
          </w:p>
        </w:tc>
        <w:tc>
          <w:tcPr>
            <w:tcW w:type="dxa" w:w="4174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Commercial</w:t>
            </w:r>
          </w:p>
        </w:tc>
      </w:tr>
      <w:tr>
        <w:trPr>
          <w:cantSplit/>
        </w:trPr>
        <w:tc>
          <w:tcPr>
            <w:tcW w:type="dxa" w:w="109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10</w:t>
            </w:r>
          </w:p>
        </w:tc>
        <w:tc>
          <w:tcPr>
            <w:tcW w:type="dxa" w:w="408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Screen Specification</w:t>
            </w:r>
          </w:p>
        </w:tc>
        <w:tc>
          <w:tcPr>
            <w:tcW w:type="dxa" w:w="4174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Design</w:t>
            </w:r>
          </w:p>
        </w:tc>
      </w:tr>
      <w:tr>
        <w:trPr>
          <w:cantSplit/>
        </w:trPr>
        <w:tc>
          <w:tcPr>
            <w:tcW w:type="dxa" w:w="109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11</w:t>
            </w:r>
          </w:p>
        </w:tc>
        <w:tc>
          <w:tcPr>
            <w:tcW w:type="dxa" w:w="408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Screen Functional Specification</w:t>
            </w:r>
          </w:p>
        </w:tc>
        <w:tc>
          <w:tcPr>
            <w:tcW w:type="dxa" w:w="4174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Build reference, all 24 screens</w:t>
            </w:r>
          </w:p>
        </w:tc>
      </w:tr>
    </w:tbl>
    <w:p>
      <w:pPr>
        <w:spacing w:after="160"/>
      </w:pPr>
    </w:p>
    <w:p>
      <w:pPr>
        <w:spacing w:after="140" w:before="60" w:line="276"/>
      </w:pPr>
      <w:r>
        <w:rPr>
          <w:rFonts w:ascii="Calibri" w:cs="Calibri" w:eastAsia="Calibri" w:hAnsi="Calibri"/>
          <w:color w:val="1E2761"/>
          <w:sz w:val="20"/>
          <w:szCs w:val="20"/>
        </w:rPr>
        <w:t xml:space="preserve">Plus </w:t>
      </w:r>
      <w:r>
        <w:rPr>
          <w:rFonts w:ascii="Consolas" w:cs="Consolas" w:eastAsia="Consolas" w:hAnsi="Consolas"/>
          <w:color w:val="0B3D2E"/>
          <w:sz w:val="18"/>
          <w:szCs w:val="18"/>
          <w:shd w:fill="F4F5F7" w:val="clear"/>
        </w:rPr>
        <w:t xml:space="preserve">mockup.html</w:t>
      </w:r>
      <w:r>
        <w:rPr>
          <w:rFonts w:ascii="Calibri" w:cs="Calibri" w:eastAsia="Calibri" w:hAnsi="Calibri"/>
          <w:color w:val="1E2761"/>
          <w:sz w:val="20"/>
          <w:szCs w:val="20"/>
        </w:rPr>
        <w:t xml:space="preserve">, a working prototype of all 24 screens, and </w:t>
      </w:r>
      <w:r>
        <w:rPr>
          <w:rFonts w:ascii="Consolas" w:cs="Consolas" w:eastAsia="Consolas" w:hAnsi="Consolas"/>
          <w:color w:val="0B3D2E"/>
          <w:sz w:val="18"/>
          <w:szCs w:val="18"/>
          <w:shd w:fill="F4F5F7" w:val="clear"/>
        </w:rPr>
        <w:t xml:space="preserve">jira-backlog.xlsx</w:t>
      </w:r>
      <w:r>
        <w:rPr>
          <w:rFonts w:ascii="Calibri" w:cs="Calibri" w:eastAsia="Calibri" w:hAnsi="Calibri"/>
          <w:color w:val="1E2761"/>
          <w:sz w:val="20"/>
          <w:szCs w:val="20"/>
        </w:rPr>
        <w:t xml:space="preserve"> for Jira import.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A note on overlap</w:t>
      </w:r>
    </w:p>
    <w:p>
      <w:pPr>
        <w:spacing w:after="140" w:before="60" w:line="276"/>
      </w:pPr>
      <w:r>
        <w:rPr>
          <w:rFonts w:ascii="Calibri" w:cs="Calibri" w:eastAsia="Calibri" w:hAnsi="Calibri"/>
          <w:color w:val="1E2761"/>
          <w:sz w:val="20"/>
          <w:szCs w:val="20"/>
        </w:rPr>
        <w:t xml:space="preserve">Documents 13 and 14 are the formal, numbered, traceable artifacts intended for sign-off. Documents 01 and 02 are the working product and engineering specs, and they cover much of the same ground.</w:t>
      </w:r>
    </w:p>
    <w:p>
      <w:pPr>
        <w:spacing w:after="140" w:before="60" w:line="276"/>
      </w:pPr>
      <w:r>
        <w:rPr>
          <w:rFonts w:ascii="Calibri" w:cs="Calibri" w:eastAsia="Calibri" w:hAnsi="Calibri"/>
          <w:color w:val="1E2761"/>
          <w:sz w:val="20"/>
          <w:szCs w:val="20"/>
        </w:rPr>
        <w:t xml:space="preserve">They agree today. They will drift if both are treated as the source of truth. The recommendation: </w:t>
      </w:r>
      <w:r>
        <w:rPr>
          <w:rFonts w:ascii="Calibri" w:cs="Calibri" w:eastAsia="Calibri" w:hAnsi="Calibri"/>
          <w:b/>
          <w:bCs/>
          <w:color w:val="1E2761"/>
          <w:sz w:val="20"/>
          <w:szCs w:val="20"/>
        </w:rPr>
        <w:t xml:space="preserve">13 and 14 are contractual; 01 and 02 are working documents.</w:t>
      </w:r>
      <w:r>
        <w:rPr>
          <w:rFonts w:ascii="Calibri" w:cs="Calibri" w:eastAsia="Calibri" w:hAnsi="Calibri"/>
          <w:color w:val="1E2761"/>
          <w:sz w:val="20"/>
          <w:szCs w:val="20"/>
        </w:rPr>
        <w:t xml:space="preserve"> Where a statement conflicts, document 14 governs what gets built and tested, and 02 should be corrected to match rather than the reverse.</w:t>
      </w:r>
    </w:p>
    <w:sectPr>
      <w:headerReference w:type="default" r:id="rId7"/>
      <w:footerReference w:type="default" r:id="rId8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B6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4D4D4" w:sz="4" w:space="6"/>
      </w:pBdr>
      <w:tabs>
        <w:tab w:val="right" w:pos="9360"/>
      </w:tabs>
      <w:spacing w:after="200"/>
    </w:pPr>
    <w:r>
      <w:rPr>
        <w:rFonts w:ascii="Calibri" w:cs="Calibri" w:eastAsia="Calibri" w:hAnsi="Calibri"/>
        <w:color w:val="6B6B6B"/>
        <w:sz w:val="16"/>
        <w:szCs w:val="16"/>
      </w:rPr>
      <w:t xml:space="preserve">FlowZapp</w:t>
    </w:r>
    <w:r>
      <w:rPr>
        <w:rFonts w:ascii="Calibri" w:cs="Calibri" w:eastAsia="Calibri" w:hAnsi="Calibri"/>
        <w:color w:val="6B6B6B"/>
        <w:sz w:val="16"/>
        <w:szCs w:val="16"/>
      </w:rPr>
      <w:t xml:space="preserve">	Project Overview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  <w:lvl w:ilvl="1" w15:tentative="1">
      <w:start w:val="1"/>
      <w:numFmt w:val="bullet"/>
      <w:lvlText w:val="◦"/>
      <w:lvlJc w:val="left"/>
      <w:pPr>
        <w:ind w:left="72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Overview</dc:title>
  <dc:creator>FlowZapp</dc:creator>
  <dc:description>What FlowZapp is, who it is for, and where the project stands</dc:description>
  <cp:lastModifiedBy>Un-named</cp:lastModifiedBy>
  <cp:revision>1</cp:revision>
  <dcterms:created xsi:type="dcterms:W3CDTF">2026-09-16T12:18:39.700Z</dcterms:created>
  <dcterms:modified xsi:type="dcterms:W3CDTF">2026-09-16T12:18:39.700Z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