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rFonts w:ascii="Calibri" w:cs="Calibri" w:eastAsia="Calibri" w:hAnsi="Calibri"/>
          <w:b/>
          <w:bCs/>
          <w:color w:val="6B6B6B"/>
          <w:spacing w:val="60"/>
          <w:sz w:val="18"/>
          <w:szCs w:val="18"/>
        </w:rPr>
        <w:t xml:space="preserve">FLOWZAPP</w:t>
      </w:r>
    </w:p>
    <w:p>
      <w:pPr>
        <w:spacing w:after="160"/>
      </w:pPr>
      <w:r>
        <w:rPr>
          <w:rFonts w:ascii="Calibri Light" w:cs="Calibri Light" w:eastAsia="Calibri Light" w:hAnsi="Calibri Light"/>
          <w:b/>
          <w:bCs/>
          <w:color w:val="1E2761"/>
          <w:sz w:val="52"/>
          <w:szCs w:val="52"/>
        </w:rPr>
        <w:t xml:space="preserve">Functional Specification</w:t>
      </w:r>
    </w:p>
    <w:p>
      <w:pPr>
        <w:pBdr>
          <w:top w:val="single" w:color="D4D4D4" w:sz="6" w:space="12"/>
        </w:pBdr>
        <w:spacing w:after="200" w:before="160"/>
      </w:pPr>
      <w:r>
        <w:rPr>
          <w:rFonts w:ascii="Calibri" w:cs="Calibri" w:eastAsia="Calibri" w:hAnsi="Calibri"/>
          <w:color w:val="6B6B6B"/>
          <w:sz w:val="24"/>
          <w:szCs w:val="24"/>
        </w:rPr>
        <w:t xml:space="preserve">FSD — numbered functional requirements with full traceability</w:t>
      </w:r>
    </w:p>
    <w:p>
      <w:r>
        <w:rPr>
          <w:rFonts w:ascii="Calibri" w:cs="Calibri" w:eastAsia="Calibri" w:hAnsi="Calibri"/>
          <w:color w:val="6B6B6B"/>
          <w:sz w:val="20"/>
          <w:szCs w:val="20"/>
        </w:rPr>
        <w:t xml:space="preserve">Version 1.0  ·  Project documentation  ·  2026</w:t>
      </w:r>
    </w:p>
    <w:p>
      <w:r>
        <w:br w:type="page"/>
      </w:r>
    </w:p>
    <w:p>
      <w:pPr>
        <w:pStyle w:val="Heading2"/>
        <w:spacing w:after="140" w:before="320"/>
      </w:pPr>
      <w:r>
        <w:rPr>
          <w:rFonts w:ascii="Calibri Light" w:cs="Calibri Light" w:eastAsia="Calibri Light" w:hAnsi="Calibri Light"/>
          <w:b/>
          <w:bCs/>
          <w:color w:val="1E276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7"/>
        <w:gridCol w:w="7353"/>
      </w:tblGrid>
      <w:tr>
        <w:trPr>
          <w:cantSplit/>
          <w:tblHeader/>
        </w:trPr>
        <w:tc>
          <w:tcPr>
            <w:tcW w:type="dxa" w:w="200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sz w:val="20"/>
                <w:szCs w:val="20"/>
              </w:rPr>
              <w:t xml:space="preserve"/>
            </w:r>
          </w:p>
        </w:tc>
        <w:tc>
          <w:tcPr>
            <w:tcW w:type="dxa" w:w="73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sz w:val="20"/>
                <w:szCs w:val="20"/>
              </w:rPr>
              <w:t xml:space="preserve"/>
            </w:r>
          </w:p>
        </w:tc>
      </w:tr>
      <w:tr>
        <w:trPr>
          <w:cantSplit/>
        </w:trPr>
        <w:tc>
          <w:tcPr>
            <w:tcW w:type="dxa" w:w="20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w:t>
            </w:r>
          </w:p>
        </w:tc>
        <w:tc>
          <w:tcPr>
            <w:tcW w:type="dxa" w:w="73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Functional Specification Document (FSD)</w:t>
            </w:r>
          </w:p>
        </w:tc>
      </w:tr>
      <w:tr>
        <w:trPr>
          <w:cantSplit/>
        </w:trPr>
        <w:tc>
          <w:tcPr>
            <w:tcW w:type="dxa" w:w="200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Product</w:t>
            </w:r>
          </w:p>
        </w:tc>
        <w:tc>
          <w:tcPr>
            <w:tcW w:type="dxa" w:w="73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FlowZapp</w:t>
            </w:r>
          </w:p>
        </w:tc>
      </w:tr>
      <w:tr>
        <w:trPr>
          <w:cantSplit/>
        </w:trPr>
        <w:tc>
          <w:tcPr>
            <w:tcW w:type="dxa" w:w="20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Version</w:t>
            </w:r>
          </w:p>
        </w:tc>
        <w:tc>
          <w:tcPr>
            <w:tcW w:type="dxa" w:w="73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1.0</w:t>
            </w:r>
          </w:p>
        </w:tc>
      </w:tr>
      <w:tr>
        <w:trPr>
          <w:cantSplit/>
        </w:trPr>
        <w:tc>
          <w:tcPr>
            <w:tcW w:type="dxa" w:w="200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Status</w:t>
            </w:r>
          </w:p>
        </w:tc>
        <w:tc>
          <w:tcPr>
            <w:tcW w:type="dxa" w:w="73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Draft for approval</w:t>
            </w:r>
          </w:p>
        </w:tc>
      </w:tr>
      <w:tr>
        <w:trPr>
          <w:cantSplit/>
        </w:trPr>
        <w:tc>
          <w:tcPr>
            <w:tcW w:type="dxa" w:w="20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Traces from</w:t>
            </w:r>
          </w:p>
        </w:tc>
        <w:tc>
          <w:tcPr>
            <w:tcW w:type="dxa" w:w="73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onsolas" w:cs="Consolas" w:eastAsia="Consolas" w:hAnsi="Consolas"/>
                <w:color w:val="0B3D2E"/>
                <w:sz w:val="18"/>
                <w:szCs w:val="18"/>
                <w:shd w:fill="F4F5F7" w:val="clear"/>
              </w:rPr>
              <w:t xml:space="preserve">13-business-requirements.md</w:t>
            </w:r>
            <w:r>
              <w:rPr>
                <w:rFonts w:ascii="Calibri" w:cs="Calibri" w:eastAsia="Calibri" w:hAnsi="Calibri"/>
                <w:color w:val="1E2761"/>
                <w:sz w:val="20"/>
                <w:szCs w:val="20"/>
              </w:rPr>
              <w:t xml:space="preserve"> (BR-01 … BR-34, BRL-01 … BRL-12)</w:t>
            </w:r>
          </w:p>
        </w:tc>
      </w:tr>
      <w:tr>
        <w:trPr>
          <w:cantSplit/>
        </w:trPr>
        <w:tc>
          <w:tcPr>
            <w:tcW w:type="dxa" w:w="200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Traces to</w:t>
            </w:r>
          </w:p>
        </w:tc>
        <w:tc>
          <w:tcPr>
            <w:tcW w:type="dxa" w:w="73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onsolas" w:cs="Consolas" w:eastAsia="Consolas" w:hAnsi="Consolas"/>
                <w:color w:val="0B3D2E"/>
                <w:sz w:val="18"/>
                <w:szCs w:val="18"/>
                <w:shd w:fill="F4F5F7" w:val="clear"/>
              </w:rPr>
              <w:t xml:space="preserve">06-product-backlog.md</w:t>
            </w:r>
            <w:r>
              <w:rPr>
                <w:rFonts w:ascii="Calibri" w:cs="Calibri" w:eastAsia="Calibri" w:hAnsi="Calibri"/>
                <w:color w:val="1E2761"/>
                <w:sz w:val="20"/>
                <w:szCs w:val="20"/>
              </w:rPr>
              <w:t xml:space="preserve"> (epics A–M), </w:t>
            </w:r>
            <w:r>
              <w:rPr>
                <w:rFonts w:ascii="Consolas" w:cs="Consolas" w:eastAsia="Consolas" w:hAnsi="Consolas"/>
                <w:color w:val="0B3D2E"/>
                <w:sz w:val="18"/>
                <w:szCs w:val="18"/>
                <w:shd w:fill="F4F5F7" w:val="clear"/>
              </w:rPr>
              <w:t xml:space="preserve">08-test-plan.md</w:t>
            </w:r>
          </w:p>
        </w:tc>
      </w:tr>
      <w:tr>
        <w:trPr>
          <w:cantSplit/>
        </w:trPr>
        <w:tc>
          <w:tcPr>
            <w:tcW w:type="dxa" w:w="20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Supporting detail</w:t>
            </w:r>
          </w:p>
        </w:tc>
        <w:tc>
          <w:tcPr>
            <w:tcW w:type="dxa" w:w="73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onsolas" w:cs="Consolas" w:eastAsia="Consolas" w:hAnsi="Consolas"/>
                <w:color w:val="0B3D2E"/>
                <w:sz w:val="18"/>
                <w:szCs w:val="18"/>
                <w:shd w:fill="F4F5F7" w:val="clear"/>
              </w:rPr>
              <w:t xml:space="preserve">11-screen-functional-spec.md</w:t>
            </w:r>
            <w:r>
              <w:rPr>
                <w:rFonts w:ascii="Calibri" w:cs="Calibri" w:eastAsia="Calibri" w:hAnsi="Calibri"/>
                <w:color w:val="1E2761"/>
                <w:sz w:val="20"/>
                <w:szCs w:val="20"/>
              </w:rPr>
              <w:t xml:space="preserve"> (screens S1–S24), </w:t>
            </w:r>
            <w:r>
              <w:rPr>
                <w:rFonts w:ascii="Consolas" w:cs="Consolas" w:eastAsia="Consolas" w:hAnsi="Consolas"/>
                <w:color w:val="0B3D2E"/>
                <w:sz w:val="18"/>
                <w:szCs w:val="18"/>
                <w:shd w:fill="F4F5F7" w:val="clear"/>
              </w:rPr>
              <w:t xml:space="preserve">05-api-specification.md</w:t>
            </w:r>
            <w:r>
              <w:rPr>
                <w:rFonts w:ascii="Calibri" w:cs="Calibri" w:eastAsia="Calibri" w:hAnsi="Calibri"/>
                <w:color w:val="1E2761"/>
                <w:sz w:val="20"/>
                <w:szCs w:val="20"/>
              </w:rPr>
              <w:t xml:space="preserve">, </w:t>
            </w:r>
            <w:r>
              <w:rPr>
                <w:rFonts w:ascii="Consolas" w:cs="Consolas" w:eastAsia="Consolas" w:hAnsi="Consolas"/>
                <w:color w:val="0B3D2E"/>
                <w:sz w:val="18"/>
                <w:szCs w:val="18"/>
                <w:shd w:fill="F4F5F7" w:val="clear"/>
              </w:rPr>
              <w:t xml:space="preserve">04-database-schema.md</w:t>
            </w:r>
          </w:p>
        </w:tc>
      </w:tr>
    </w:tbl>
    <w:p>
      <w:pPr>
        <w:spacing w:after="160"/>
      </w:pPr>
    </w:p>
    <w:p>
      <w:pPr>
        <w:pStyle w:val="Heading3"/>
        <w:spacing w:after="100" w:before="240"/>
      </w:pPr>
      <w:r>
        <w:rPr>
          <w:rFonts w:ascii="Calibri" w:cs="Calibri" w:eastAsia="Calibri" w:hAnsi="Calibri"/>
          <w:b/>
          <w:bCs/>
          <w:color w:val="1A1A1A"/>
          <w:sz w:val="23"/>
          <w:szCs w:val="23"/>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33"/>
        <w:gridCol w:w="2042"/>
        <w:gridCol w:w="2042"/>
        <w:gridCol w:w="2043"/>
      </w:tblGrid>
      <w:tr>
        <w:trPr>
          <w:cantSplit/>
          <w:tblHeader/>
        </w:trPr>
        <w:tc>
          <w:tcPr>
            <w:tcW w:type="dxa" w:w="323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Role</w:t>
            </w:r>
          </w:p>
        </w:tc>
        <w:tc>
          <w:tcPr>
            <w:tcW w:type="dxa" w:w="204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Name</w:t>
            </w:r>
          </w:p>
        </w:tc>
        <w:tc>
          <w:tcPr>
            <w:tcW w:type="dxa" w:w="204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Decision</w:t>
            </w:r>
          </w:p>
        </w:tc>
        <w:tc>
          <w:tcPr>
            <w:tcW w:type="dxa" w:w="204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Date</w:t>
            </w:r>
          </w:p>
        </w:tc>
      </w:tr>
      <w:tr>
        <w:trPr>
          <w:cantSplit/>
        </w:trPr>
        <w:tc>
          <w:tcPr>
            <w:tcW w:type="dxa" w:w="32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Product owner</w:t>
            </w:r>
          </w:p>
        </w:tc>
        <w:tc>
          <w:tcPr>
            <w:tcW w:type="dxa" w:w="204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sz w:val="20"/>
                <w:szCs w:val="20"/>
              </w:rPr>
              <w:t xml:space="preserve"/>
            </w:r>
          </w:p>
        </w:tc>
        <w:tc>
          <w:tcPr>
            <w:tcW w:type="dxa" w:w="204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sz w:val="20"/>
                <w:szCs w:val="20"/>
              </w:rPr>
              <w:t xml:space="preserve"/>
            </w:r>
          </w:p>
        </w:tc>
        <w:tc>
          <w:tcPr>
            <w:tcW w:type="dxa" w:w="20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sz w:val="20"/>
                <w:szCs w:val="20"/>
              </w:rPr>
              <w:t xml:space="preserve"/>
            </w:r>
          </w:p>
        </w:tc>
      </w:tr>
      <w:tr>
        <w:trPr>
          <w:cantSplit/>
        </w:trPr>
        <w:tc>
          <w:tcPr>
            <w:tcW w:type="dxa" w:w="32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Technical lead</w:t>
            </w:r>
          </w:p>
        </w:tc>
        <w:tc>
          <w:tcPr>
            <w:tcW w:type="dxa" w:w="204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sz w:val="20"/>
                <w:szCs w:val="20"/>
              </w:rPr>
              <w:t xml:space="preserve"/>
            </w:r>
          </w:p>
        </w:tc>
        <w:tc>
          <w:tcPr>
            <w:tcW w:type="dxa" w:w="204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sz w:val="20"/>
                <w:szCs w:val="20"/>
              </w:rPr>
              <w:t xml:space="preserve"/>
            </w:r>
          </w:p>
        </w:tc>
        <w:tc>
          <w:tcPr>
            <w:tcW w:type="dxa" w:w="204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sz w:val="20"/>
                <w:szCs w:val="20"/>
              </w:rPr>
              <w:t xml:space="preserve"/>
            </w:r>
          </w:p>
        </w:tc>
      </w:tr>
      <w:tr>
        <w:trPr>
          <w:cantSplit/>
        </w:trPr>
        <w:tc>
          <w:tcPr>
            <w:tcW w:type="dxa" w:w="32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QA lead</w:t>
            </w:r>
          </w:p>
        </w:tc>
        <w:tc>
          <w:tcPr>
            <w:tcW w:type="dxa" w:w="204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sz w:val="20"/>
                <w:szCs w:val="20"/>
              </w:rPr>
              <w:t xml:space="preserve"/>
            </w:r>
          </w:p>
        </w:tc>
        <w:tc>
          <w:tcPr>
            <w:tcW w:type="dxa" w:w="204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sz w:val="20"/>
                <w:szCs w:val="20"/>
              </w:rPr>
              <w:t xml:space="preserve"/>
            </w:r>
          </w:p>
        </w:tc>
        <w:tc>
          <w:tcPr>
            <w:tcW w:type="dxa" w:w="204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sz w:val="20"/>
                <w:szCs w:val="20"/>
              </w:rPr>
              <w:t xml:space="preserve"/>
            </w:r>
          </w:p>
        </w:tc>
      </w:tr>
    </w:tbl>
    <w:p>
      <w:pPr>
        <w:spacing w:after="160"/>
      </w:pPr>
    </w:p>
    <w:p>
      <w:pPr>
        <w:pStyle w:val="Heading2"/>
        <w:spacing w:after="140" w:before="320"/>
      </w:pPr>
      <w:r>
        <w:rPr>
          <w:rFonts w:ascii="Calibri Light" w:cs="Calibri Light" w:eastAsia="Calibri Light" w:hAnsi="Calibri Light"/>
          <w:b/>
          <w:bCs/>
          <w:color w:val="1E2761"/>
          <w:sz w:val="28"/>
          <w:szCs w:val="28"/>
        </w:rPr>
        <w:t xml:space="preserve">1. Purpose and scope</w:t>
      </w:r>
    </w:p>
    <w:p>
      <w:pPr>
        <w:spacing w:after="140" w:before="60" w:line="276"/>
      </w:pPr>
      <w:r>
        <w:rPr>
          <w:rFonts w:ascii="Calibri" w:cs="Calibri" w:eastAsia="Calibri" w:hAnsi="Calibri"/>
          <w:color w:val="1E2761"/>
          <w:sz w:val="20"/>
          <w:szCs w:val="20"/>
        </w:rPr>
        <w:t xml:space="preserve">This document specifies </w:t>
      </w:r>
      <w:r>
        <w:rPr>
          <w:rFonts w:ascii="Calibri" w:cs="Calibri" w:eastAsia="Calibri" w:hAnsi="Calibri"/>
          <w:b/>
          <w:bCs/>
          <w:color w:val="1E2761"/>
          <w:sz w:val="20"/>
          <w:szCs w:val="20"/>
        </w:rPr>
        <w:t xml:space="preserve">what the system must do</w:t>
      </w:r>
      <w:r>
        <w:rPr>
          <w:rFonts w:ascii="Calibri" w:cs="Calibri" w:eastAsia="Calibri" w:hAnsi="Calibri"/>
          <w:color w:val="1E2761"/>
          <w:sz w:val="20"/>
          <w:szCs w:val="20"/>
        </w:rPr>
        <w:t xml:space="preserve"> to satisfy the business requirements in document 13. It is the reference for build and for user acceptance testing.</w:t>
      </w:r>
    </w:p>
    <w:p>
      <w:pPr>
        <w:spacing w:after="140" w:before="60" w:line="276"/>
      </w:pPr>
      <w:r>
        <w:rPr>
          <w:rFonts w:ascii="Calibri" w:cs="Calibri" w:eastAsia="Calibri" w:hAnsi="Calibri"/>
          <w:color w:val="1E2761"/>
          <w:sz w:val="20"/>
          <w:szCs w:val="20"/>
        </w:rPr>
        <w:t xml:space="preserve">It does not specify technical design — database structure, framework choices and infrastructure are in documents 03 and 04. It does not specify interface layout, which is in documents 10 and 11. Where this document and document 02 disagree, this document governs.</w:t>
      </w:r>
    </w:p>
    <w:p>
      <w:pPr>
        <w:pStyle w:val="Heading2"/>
        <w:spacing w:after="140" w:before="320"/>
      </w:pPr>
      <w:r>
        <w:rPr>
          <w:rFonts w:ascii="Calibri Light" w:cs="Calibri Light" w:eastAsia="Calibri Light" w:hAnsi="Calibri Light"/>
          <w:b/>
          <w:bCs/>
          <w:color w:val="1E2761"/>
          <w:sz w:val="28"/>
          <w:szCs w:val="28"/>
        </w:rPr>
        <w:t xml:space="preserve">2. Requirement identifiers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0"/>
        <w:gridCol w:w="7590"/>
      </w:tblGrid>
      <w:tr>
        <w:trPr>
          <w:cantSplit/>
          <w:tblHeader/>
        </w:trPr>
        <w:tc>
          <w:tcPr>
            <w:tcW w:type="dxa" w:w="177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Convention</w:t>
            </w:r>
          </w:p>
        </w:tc>
        <w:tc>
          <w:tcPr>
            <w:tcW w:type="dxa" w:w="759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Meaning</w:t>
            </w:r>
          </w:p>
        </w:tc>
      </w:tr>
      <w:tr>
        <w:trPr>
          <w:cantSplit/>
        </w:trPr>
        <w:tc>
          <w:tcPr>
            <w:tcW w:type="dxa" w:w="17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FR-nnn</w:t>
            </w:r>
          </w:p>
        </w:tc>
        <w:tc>
          <w:tcPr>
            <w:tcW w:type="dxa" w:w="759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Functional requirement. Numbered by module in hundreds</w:t>
            </w:r>
          </w:p>
        </w:tc>
      </w:tr>
      <w:tr>
        <w:trPr>
          <w:cantSplit/>
        </w:trPr>
        <w:tc>
          <w:tcPr>
            <w:tcW w:type="dxa" w:w="17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Priority</w:t>
            </w:r>
          </w:p>
        </w:tc>
        <w:tc>
          <w:tcPr>
            <w:tcW w:type="dxa" w:w="759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 must have · S should have · C could have</w:t>
            </w:r>
          </w:p>
        </w:tc>
      </w:tr>
      <w:tr>
        <w:trPr>
          <w:cantSplit/>
        </w:trPr>
        <w:tc>
          <w:tcPr>
            <w:tcW w:type="dxa" w:w="17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759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BR or BRL from document 13 that the requirement satisfies</w:t>
            </w:r>
          </w:p>
        </w:tc>
      </w:tr>
      <w:tr>
        <w:trPr>
          <w:cantSplit/>
        </w:trPr>
        <w:tc>
          <w:tcPr>
            <w:tcW w:type="dxa" w:w="17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c>
          <w:tcPr>
            <w:tcW w:type="dxa" w:w="759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screen in document 11 where the requirement is surfaced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39"/>
        <w:gridCol w:w="2321"/>
      </w:tblGrid>
      <w:tr>
        <w:trPr>
          <w:cantSplit/>
          <w:tblHeader/>
        </w:trPr>
        <w:tc>
          <w:tcPr>
            <w:tcW w:type="dxa" w:w="703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Module</w:t>
            </w:r>
          </w:p>
        </w:tc>
        <w:tc>
          <w:tcPr>
            <w:tcW w:type="dxa" w:w="232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Range</w:t>
            </w:r>
          </w:p>
        </w:tc>
      </w:tr>
      <w:tr>
        <w:trPr>
          <w:cantSplit/>
        </w:trPr>
        <w:tc>
          <w:tcPr>
            <w:tcW w:type="dxa" w:w="70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Access and workspace</w:t>
            </w:r>
          </w:p>
        </w:tc>
        <w:tc>
          <w:tcPr>
            <w:tcW w:type="dxa" w:w="23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FR-1xx</w:t>
            </w:r>
          </w:p>
        </w:tc>
      </w:tr>
      <w:tr>
        <w:trPr>
          <w:cantSplit/>
        </w:trPr>
        <w:tc>
          <w:tcPr>
            <w:tcW w:type="dxa" w:w="70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Content structure</w:t>
            </w:r>
          </w:p>
        </w:tc>
        <w:tc>
          <w:tcPr>
            <w:tcW w:type="dxa" w:w="232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FR-2xx</w:t>
            </w:r>
          </w:p>
        </w:tc>
      </w:tr>
      <w:tr>
        <w:trPr>
          <w:cantSplit/>
        </w:trPr>
        <w:tc>
          <w:tcPr>
            <w:tcW w:type="dxa" w:w="70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Capture and generation</w:t>
            </w:r>
          </w:p>
        </w:tc>
        <w:tc>
          <w:tcPr>
            <w:tcW w:type="dxa" w:w="23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FR-3xx</w:t>
            </w:r>
          </w:p>
        </w:tc>
      </w:tr>
      <w:tr>
        <w:trPr>
          <w:cantSplit/>
        </w:trPr>
        <w:tc>
          <w:tcPr>
            <w:tcW w:type="dxa" w:w="70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Governance</w:t>
            </w:r>
          </w:p>
        </w:tc>
        <w:tc>
          <w:tcPr>
            <w:tcW w:type="dxa" w:w="232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FR-4xx</w:t>
            </w:r>
          </w:p>
        </w:tc>
      </w:tr>
      <w:tr>
        <w:trPr>
          <w:cantSplit/>
        </w:trPr>
        <w:tc>
          <w:tcPr>
            <w:tcW w:type="dxa" w:w="70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Permissions</w:t>
            </w:r>
          </w:p>
        </w:tc>
        <w:tc>
          <w:tcPr>
            <w:tcW w:type="dxa" w:w="23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FR-5xx</w:t>
            </w:r>
          </w:p>
        </w:tc>
      </w:tr>
      <w:tr>
        <w:trPr>
          <w:cantSplit/>
        </w:trPr>
        <w:tc>
          <w:tcPr>
            <w:tcW w:type="dxa" w:w="70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Retrieval and answers</w:t>
            </w:r>
          </w:p>
        </w:tc>
        <w:tc>
          <w:tcPr>
            <w:tcW w:type="dxa" w:w="232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FR-6xx</w:t>
            </w:r>
          </w:p>
        </w:tc>
      </w:tr>
      <w:tr>
        <w:trPr>
          <w:cantSplit/>
        </w:trPr>
        <w:tc>
          <w:tcPr>
            <w:tcW w:type="dxa" w:w="70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Handbook and acknowledgement</w:t>
            </w:r>
          </w:p>
        </w:tc>
        <w:tc>
          <w:tcPr>
            <w:tcW w:type="dxa" w:w="23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FR-7xx</w:t>
            </w:r>
          </w:p>
        </w:tc>
      </w:tr>
      <w:tr>
        <w:trPr>
          <w:cantSplit/>
        </w:trPr>
        <w:tc>
          <w:tcPr>
            <w:tcW w:type="dxa" w:w="70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Content assistance</w:t>
            </w:r>
          </w:p>
        </w:tc>
        <w:tc>
          <w:tcPr>
            <w:tcW w:type="dxa" w:w="232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FR-8xx</w:t>
            </w:r>
          </w:p>
        </w:tc>
      </w:tr>
      <w:tr>
        <w:trPr>
          <w:cantSplit/>
        </w:trPr>
        <w:tc>
          <w:tcPr>
            <w:tcW w:type="dxa" w:w="70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Commercial and administration</w:t>
            </w:r>
          </w:p>
        </w:tc>
        <w:tc>
          <w:tcPr>
            <w:tcW w:type="dxa" w:w="23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FR-9xx</w:t>
            </w:r>
          </w:p>
        </w:tc>
      </w:tr>
    </w:tbl>
    <w:p>
      <w:pPr>
        <w:spacing w:after="160"/>
      </w:pPr>
    </w:p>
    <w:p>
      <w:pPr>
        <w:pStyle w:val="Heading2"/>
        <w:spacing w:after="140" w:before="320"/>
      </w:pPr>
      <w:r>
        <w:rPr>
          <w:rFonts w:ascii="Calibri Light" w:cs="Calibri Light" w:eastAsia="Calibri Light" w:hAnsi="Calibri Light"/>
          <w:b/>
          <w:bCs/>
          <w:color w:val="1E2761"/>
          <w:sz w:val="28"/>
          <w:szCs w:val="28"/>
        </w:rPr>
        <w:t xml:space="preserve">3.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3"/>
        <w:gridCol w:w="3076"/>
        <w:gridCol w:w="4121"/>
      </w:tblGrid>
      <w:tr>
        <w:trPr>
          <w:cantSplit/>
          <w:tblHeader/>
        </w:trPr>
        <w:tc>
          <w:tcPr>
            <w:tcW w:type="dxa" w:w="216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Actor</w:t>
            </w:r>
          </w:p>
        </w:tc>
        <w:tc>
          <w:tcPr>
            <w:tcW w:type="dxa" w:w="307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Description</w:t>
            </w:r>
          </w:p>
        </w:tc>
        <w:tc>
          <w:tcPr>
            <w:tcW w:type="dxa" w:w="412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System role</w:t>
            </w:r>
          </w:p>
        </w:tc>
      </w:tr>
      <w:tr>
        <w:trPr>
          <w:cantSplit/>
        </w:trPr>
        <w:tc>
          <w:tcPr>
            <w:tcW w:type="dxa" w:w="216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Administrator</w:t>
            </w:r>
          </w:p>
        </w:tc>
        <w:tc>
          <w:tcPr>
            <w:tcW w:type="dxa" w:w="307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Owns the customer account</w:t>
            </w:r>
          </w:p>
        </w:tc>
        <w:tc>
          <w:tcPr>
            <w:tcW w:type="dxa" w:w="41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Full access, billing, membership, all spaces</w:t>
            </w:r>
          </w:p>
        </w:tc>
      </w:tr>
      <w:tr>
        <w:trPr>
          <w:cantSplit/>
        </w:trPr>
        <w:tc>
          <w:tcPr>
            <w:tcW w:type="dxa" w:w="216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Approver</w:t>
            </w:r>
          </w:p>
        </w:tc>
        <w:tc>
          <w:tcPr>
            <w:tcW w:type="dxa" w:w="307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Accountable for a set of procedures</w:t>
            </w:r>
          </w:p>
        </w:tc>
        <w:tc>
          <w:tcPr>
            <w:tcW w:type="dxa" w:w="412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Editor rights plus approval within assigned spaces</w:t>
            </w:r>
          </w:p>
        </w:tc>
      </w:tr>
      <w:tr>
        <w:trPr>
          <w:cantSplit/>
        </w:trPr>
        <w:tc>
          <w:tcPr>
            <w:tcW w:type="dxa" w:w="216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Editor</w:t>
            </w:r>
          </w:p>
        </w:tc>
        <w:tc>
          <w:tcPr>
            <w:tcW w:type="dxa" w:w="307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Captures and drafts content</w:t>
            </w:r>
          </w:p>
        </w:tc>
        <w:tc>
          <w:tcPr>
            <w:tcW w:type="dxa" w:w="41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Create, edit, record, submit for approval</w:t>
            </w:r>
          </w:p>
        </w:tc>
      </w:tr>
      <w:tr>
        <w:trPr>
          <w:cantSplit/>
        </w:trPr>
        <w:tc>
          <w:tcPr>
            <w:tcW w:type="dxa" w:w="216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Reader</w:t>
            </w:r>
          </w:p>
        </w:tc>
        <w:tc>
          <w:tcPr>
            <w:tcW w:type="dxa" w:w="307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Consumes content</w:t>
            </w:r>
          </w:p>
        </w:tc>
        <w:tc>
          <w:tcPr>
            <w:tcW w:type="dxa" w:w="412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Read approved content, ask questions, acknowledge policies</w:t>
            </w:r>
          </w:p>
        </w:tc>
      </w:tr>
      <w:tr>
        <w:trPr>
          <w:cantSplit/>
        </w:trPr>
        <w:tc>
          <w:tcPr>
            <w:tcW w:type="dxa" w:w="216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Guest</w:t>
            </w:r>
          </w:p>
        </w:tc>
        <w:tc>
          <w:tcPr>
            <w:tcW w:type="dxa" w:w="307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External or limited participant</w:t>
            </w:r>
          </w:p>
        </w:tc>
        <w:tc>
          <w:tcPr>
            <w:tcW w:type="dxa" w:w="412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Read explicitly shared folders only</w:t>
            </w:r>
          </w:p>
        </w:tc>
      </w:tr>
      <w:tr>
        <w:trPr>
          <w:cantSplit/>
        </w:trPr>
        <w:tc>
          <w:tcPr>
            <w:tcW w:type="dxa" w:w="216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System</w:t>
            </w:r>
          </w:p>
        </w:tc>
        <w:tc>
          <w:tcPr>
            <w:tcW w:type="dxa" w:w="307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Automated processing</w:t>
            </w:r>
          </w:p>
        </w:tc>
        <w:tc>
          <w:tcPr>
            <w:tcW w:type="dxa" w:w="412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Transcription, segmentation, generation, indexing</w:t>
            </w:r>
          </w:p>
        </w:tc>
      </w:tr>
    </w:tbl>
    <w:p>
      <w:pPr>
        <w:spacing w:after="160"/>
      </w:pPr>
    </w:p>
    <w:p>
      <w:pPr>
        <w:pStyle w:val="Heading2"/>
        <w:spacing w:after="140" w:before="320"/>
      </w:pPr>
      <w:r>
        <w:rPr>
          <w:rFonts w:ascii="Calibri Light" w:cs="Calibri Light" w:eastAsia="Calibri Light" w:hAnsi="Calibri Light"/>
          <w:b/>
          <w:bCs/>
          <w:color w:val="1E2761"/>
          <w:sz w:val="28"/>
          <w:szCs w:val="28"/>
        </w:rPr>
        <w:t xml:space="preserve">4. Role and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8"/>
        <w:gridCol w:w="1146"/>
        <w:gridCol w:w="1508"/>
        <w:gridCol w:w="1246"/>
        <w:gridCol w:w="1246"/>
        <w:gridCol w:w="1146"/>
      </w:tblGrid>
      <w:tr>
        <w:trPr>
          <w:cantSplit/>
          <w:tblHeader/>
        </w:trPr>
        <w:tc>
          <w:tcPr>
            <w:tcW w:type="dxa" w:w="306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Capability</w:t>
            </w:r>
          </w:p>
        </w:tc>
        <w:tc>
          <w:tcPr>
            <w:tcW w:type="dxa" w:w="11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Admin</w:t>
            </w:r>
          </w:p>
        </w:tc>
        <w:tc>
          <w:tcPr>
            <w:tcW w:type="dxa" w:w="150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Approver</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Editor</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Reader</w:t>
            </w:r>
          </w:p>
        </w:tc>
        <w:tc>
          <w:tcPr>
            <w:tcW w:type="dxa" w:w="11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Guest</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View approved content in permitted spaces</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View own drafts</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View others' drafts</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Create and edit documents</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Record and upload</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Submit for approval</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Approve and publish</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Archive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Restore a version</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Ask questions</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Acknowledge a policy</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Manage members and roles</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Manage space and folder access</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View audit log</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306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Manage billing</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50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c>
          <w:tcPr>
            <w:tcW w:type="dxa" w:w="11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bl>
    <w:p>
      <w:pPr>
        <w:spacing w:after="160"/>
      </w:pPr>
    </w:p>
    <w:p>
      <w:pPr>
        <w:spacing w:after="140" w:before="60" w:line="276"/>
      </w:pPr>
      <w:r>
        <w:rPr>
          <w:rFonts w:ascii="Calibri" w:cs="Calibri" w:eastAsia="Calibri" w:hAnsi="Calibri"/>
          <w:color w:val="1E2761"/>
          <w:sz w:val="20"/>
          <w:szCs w:val="20"/>
        </w:rPr>
        <w:t xml:space="preserve">● full · ◐ restricted to explicitly shared content · — not permitted</w:t>
      </w:r>
    </w:p>
    <w:p>
      <w:pPr>
        <w:pStyle w:val="Heading2"/>
        <w:spacing w:after="140" w:before="320"/>
      </w:pPr>
      <w:r>
        <w:rPr>
          <w:rFonts w:ascii="Calibri Light" w:cs="Calibri Light" w:eastAsia="Calibri Light" w:hAnsi="Calibri Light"/>
          <w:b/>
          <w:bCs/>
          <w:color w:val="1E2761"/>
          <w:sz w:val="28"/>
          <w:szCs w:val="28"/>
        </w:rPr>
        <w:t xml:space="preserve">5. Functional requirements</w:t>
      </w:r>
    </w:p>
    <w:p>
      <w:pPr>
        <w:pStyle w:val="Heading3"/>
        <w:spacing w:after="100" w:before="240"/>
      </w:pPr>
      <w:r>
        <w:rPr>
          <w:rFonts w:ascii="Calibri" w:cs="Calibri" w:eastAsia="Calibri" w:hAnsi="Calibri"/>
          <w:b/>
          <w:bCs/>
          <w:color w:val="1A1A1A"/>
          <w:sz w:val="23"/>
          <w:szCs w:val="23"/>
        </w:rPr>
        <w:t xml:space="preserve">5.1 FR-1xx — Access and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769"/>
        <w:gridCol w:w="853"/>
        <w:gridCol w:w="1246"/>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76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 user to register and authenticate by emailed single-use link, without requiring a password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not disclose whether an email address is already registered</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FR-103</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expire an authentication link after a defined period and on first use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BRL-08</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FR-104</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an authenticated user to create a workspace, making them its administrator</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FR-105</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an administrator to invite people by email with a role assigned at invitation</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BR-19, BR-22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S3</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FR-106</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validate available seats before issuing an invitation</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BR-30</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S3</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FR-107</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an administrator to revoke an unaccepted invitation, rendering its link unusable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BRL-08</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FR-108</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support a user belonging to more than one workspace, with content strictly separated</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FR-109</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present a new workspace with no content as a prompt to record a first process, and shall not offer blank document templates as the primary action</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S4</w:t>
            </w:r>
          </w:p>
        </w:tc>
      </w:tr>
    </w:tbl>
    <w:p>
      <w:pPr>
        <w:spacing w:after="160"/>
      </w:pPr>
    </w:p>
    <w:p>
      <w:pPr>
        <w:spacing w:after="140" w:before="60" w:line="276"/>
      </w:pPr>
      <w:r>
        <w:rPr>
          <w:rFonts w:ascii="Calibri" w:cs="Calibri" w:eastAsia="Calibri" w:hAnsi="Calibri"/>
          <w:color w:val="1E2761"/>
          <w:sz w:val="20"/>
          <w:szCs w:val="20"/>
        </w:rPr>
        <w:t xml:space="preserve">FR-109 is deliberately prescriptive about what </w:t>
      </w:r>
      <w:r>
        <w:rPr>
          <w:rFonts w:ascii="Calibri" w:cs="Calibri" w:eastAsia="Calibri" w:hAnsi="Calibri"/>
          <w:i/>
          <w:iCs/>
          <w:color w:val="1E2761"/>
          <w:sz w:val="20"/>
          <w:szCs w:val="20"/>
        </w:rPr>
        <w:t xml:space="preserve">not</w:t>
      </w:r>
      <w:r>
        <w:rPr>
          <w:rFonts w:ascii="Calibri" w:cs="Calibri" w:eastAsia="Calibri" w:hAnsi="Calibri"/>
          <w:color w:val="1E2761"/>
          <w:sz w:val="20"/>
          <w:szCs w:val="20"/>
        </w:rPr>
        <w:t xml:space="preserve"> to offer. Presenting a blank template first reintroduces the writing burden that BR-01 exists to remove.</w:t>
      </w:r>
    </w:p>
    <w:p>
      <w:pPr>
        <w:pStyle w:val="Heading3"/>
        <w:spacing w:after="100" w:before="240"/>
      </w:pPr>
      <w:r>
        <w:rPr>
          <w:rFonts w:ascii="Calibri" w:cs="Calibri" w:eastAsia="Calibri" w:hAnsi="Calibri"/>
          <w:b/>
          <w:bCs/>
          <w:color w:val="1A1A1A"/>
          <w:sz w:val="23"/>
          <w:szCs w:val="23"/>
        </w:rPr>
        <w:t xml:space="preserve">5.2 FR-2xx — Content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900"/>
        <w:gridCol w:w="853"/>
        <w:gridCol w:w="1115"/>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90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11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FR-201</w:t>
            </w:r>
          </w:p>
        </w:tc>
        <w:tc>
          <w:tcPr>
            <w:tcW w:type="dxa" w:w="49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organise content as workspace → space → folder → document, with folders nestable to a defined depth</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BR-19</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S6</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FR-202</w:t>
            </w:r>
          </w:p>
        </w:tc>
        <w:tc>
          <w:tcPr>
            <w:tcW w:type="dxa" w:w="49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treat a space as the primary access boundary, corresponding to a team or department</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BR-19</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S19</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FR-203</w:t>
            </w:r>
          </w:p>
        </w:tc>
        <w:tc>
          <w:tcPr>
            <w:tcW w:type="dxa" w:w="49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store each document in exactly one folder, with cross-references by internal link</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BR-04</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FR-204</w:t>
            </w:r>
          </w:p>
        </w:tc>
        <w:tc>
          <w:tcPr>
            <w:tcW w:type="dxa" w:w="49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require an explicit choice of archive or relocate when a folder containing documents is deleted, and shall never delete contents silently</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BR-10</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S6</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FR-205</w:t>
            </w:r>
          </w:p>
        </w:tc>
        <w:tc>
          <w:tcPr>
            <w:tcW w:type="dxa" w:w="49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structure a procedure as purpose, scope, prerequisites, ordered steps and outcome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S7, S8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FR-206</w:t>
            </w:r>
          </w:p>
        </w:tc>
        <w:tc>
          <w:tcPr>
            <w:tcW w:type="dxa" w:w="49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support per-step screenshots, explanatory notes, expected results, and marking a step as critical</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BR-03</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S7, S8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FR-207</w:t>
            </w:r>
          </w:p>
        </w:tc>
        <w:tc>
          <w:tcPr>
            <w:tcW w:type="dxa" w:w="49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renumber steps automatically when their order changes</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FR-208</w:t>
            </w:r>
          </w:p>
        </w:tc>
        <w:tc>
          <w:tcPr>
            <w:tcW w:type="dxa" w:w="49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preserve heading, list and table structure when content is pasted from common document tools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FR-209</w:t>
            </w:r>
          </w:p>
        </w:tc>
        <w:tc>
          <w:tcPr>
            <w:tcW w:type="dxa" w:w="49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save an author's work automatically without an explicit save action</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FR-210</w:t>
            </w:r>
          </w:p>
        </w:tc>
        <w:tc>
          <w:tcPr>
            <w:tcW w:type="dxa" w:w="49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detect concurrent modification and present the conflict for resolution, and shall never overwrite silently</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FR-211</w:t>
            </w:r>
          </w:p>
        </w:tc>
        <w:tc>
          <w:tcPr>
            <w:tcW w:type="dxa" w:w="49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provide procedure templates as an option for authors who choose to write directly</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bl>
    <w:p>
      <w:pPr>
        <w:spacing w:after="160"/>
      </w:pPr>
    </w:p>
    <w:p>
      <w:pPr>
        <w:pStyle w:val="Heading3"/>
        <w:spacing w:after="100" w:before="240"/>
      </w:pPr>
      <w:r>
        <w:rPr>
          <w:rFonts w:ascii="Calibri" w:cs="Calibri" w:eastAsia="Calibri" w:hAnsi="Calibri"/>
          <w:b/>
          <w:bCs/>
          <w:color w:val="1A1A1A"/>
          <w:sz w:val="23"/>
          <w:szCs w:val="23"/>
        </w:rPr>
        <w:t xml:space="preserve">5.3 FR-3xx — Capture and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638"/>
        <w:gridCol w:w="853"/>
        <w:gridCol w:w="1377"/>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63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37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FR-301</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capture screen and microphone within the browser, requiring no software installation</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S11</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FR-302</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accept uploads of existing recordings in common video formats, within defined duration and size limits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BR-04</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S11</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FR-303</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state capture limits and permission requirements before requesting browser permission</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S11</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FR-304</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resume an interrupted upload without requiring the file to be resent</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S11</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FR-305</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transcribe recorded audio, capturing the time position of each word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 BR-03</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FR-306</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divide a recording into discrete actions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FR-307</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capture a representative screenshot for each detected action, removing near-duplicates</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FR-308</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generate a draft procedure in the structure defined by FR-205, populated from the recording</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S9</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FR-309</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record, for every generated step, the position in the recording it was derived from</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BR-03</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S9</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FR-310</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create generated content in draft state only, and shall never publish or index it automatically</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BRL-01, BRL-06</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S9</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FR-311</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report processing state at each stage, with a determinate indication of progress</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S10</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FR-312</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report a processing failure in plain language stating the cause and the available action</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S10</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FR-313</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 failed stage to be retried without re-uploading the recording</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S10</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FR-314</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halt generation and report the reason where input quality is insufficient, and shall not produce a plausible but unfounded procedure</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BRL-06</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S9</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FR-315</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require every generated step to be verified or edited by a person before the procedure can be submitted for approval</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BRL-06</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S9</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FR-316</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generation to be repeated on a recording, producing a new draft without altering or discarding an existing one</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BRL-06</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S9, S10</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FR-317</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indicate generated steps of low confidence so a reviewer can prioritise them</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BR-03</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S9</w:t>
            </w:r>
          </w:p>
        </w:tc>
      </w:tr>
    </w:tbl>
    <w:p>
      <w:pPr>
        <w:spacing w:after="160"/>
      </w:pPr>
    </w:p>
    <w:p>
      <w:pPr>
        <w:spacing w:after="140" w:before="60" w:line="276"/>
      </w:pPr>
      <w:r>
        <w:rPr>
          <w:rFonts w:ascii="Calibri" w:cs="Calibri" w:eastAsia="Calibri" w:hAnsi="Calibri"/>
          <w:color w:val="1E2761"/>
          <w:sz w:val="20"/>
          <w:szCs w:val="20"/>
        </w:rPr>
        <w:t xml:space="preserve">FR-314 and FR-315 together are the enforcement of BRL-06. FR-315 is the single most important control in this document: an unverified generated procedure that reaches the assistant is the failure mode that would invalidate every answer the system gives.</w:t>
      </w:r>
    </w:p>
    <w:p>
      <w:pPr>
        <w:pStyle w:val="Heading3"/>
        <w:spacing w:after="100" w:before="240"/>
      </w:pPr>
      <w:r>
        <w:rPr>
          <w:rFonts w:ascii="Calibri" w:cs="Calibri" w:eastAsia="Calibri" w:hAnsi="Calibri"/>
          <w:b/>
          <w:bCs/>
          <w:color w:val="1A1A1A"/>
          <w:sz w:val="23"/>
          <w:szCs w:val="23"/>
        </w:rPr>
        <w:t xml:space="preserve">5.4 FR-4xx —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769"/>
        <w:gridCol w:w="853"/>
        <w:gridCol w:w="1246"/>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76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maintain each document in exactly one of: draft, in review, approved, archived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S6, S7</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require a named owner on every document before it can be submitted for approval</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BR-06, BRL-02</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FR-403</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permit only an approver or administrator to move a document to approved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BR-07</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S12</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FR-404</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prevent a person approving their own submission unless the workspace has enabled it, defaulting to disabled</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BRL-03</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S12, S23</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FR-405</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require a comment when changes are requested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BR-09</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S12</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FR-406</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create an immutable version record on each approval, capturing content, author, approver and timestamp</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BR-09, BRL-04</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S13</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FR-407</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keep the approved version published and answerable while a subsequent draft is edited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BR-08, BRL-04</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S7, S8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FR-408</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convert an approved document to a new draft revision automatically when its content is edited, without unpublishing the approved version</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FR-409</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display the approver, approval date and version on published content</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BR-09</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S7</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FR-410</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present differences between any two versions at the level of individual content blocks, distinguishing additions, removals, modifications and relocations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BR-09</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S13</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restore an earlier version as a new draft, leaving the published version in place until the restored draft is itself approved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BR-10</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S13</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prevent submission of a procedure containing no steps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FR-413</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support an optional review cycle, marking documents as due for review and surfacing them to their owner</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S7, S20</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FR-414</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record every state change, permission change, deletion and export in a log that cannot be modified or deleted through any interface</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BR-12, BRL-11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S21</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FR-415</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exclude archived documents from search and from answers</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BRL-10</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S6</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FR-416</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state the consequence of approval to the approver before the action is taken</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BR-07</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S12</w:t>
            </w:r>
          </w:p>
        </w:tc>
      </w:tr>
    </w:tbl>
    <w:p>
      <w:pPr>
        <w:spacing w:after="160"/>
      </w:pPr>
    </w:p>
    <w:p>
      <w:pPr>
        <w:pStyle w:val="Heading3"/>
        <w:spacing w:after="100" w:before="240"/>
      </w:pPr>
      <w:r>
        <w:rPr>
          <w:rFonts w:ascii="Calibri" w:cs="Calibri" w:eastAsia="Calibri" w:hAnsi="Calibri"/>
          <w:b/>
          <w:bCs/>
          <w:color w:val="1A1A1A"/>
          <w:sz w:val="23"/>
          <w:szCs w:val="23"/>
        </w:rPr>
        <w:t xml:space="preserve">5.5 FR-5xx —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769"/>
        <w:gridCol w:w="853"/>
        <w:gridCol w:w="1246"/>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76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prevent any access to content belonging to another workspace, through any interface or request</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BR-18</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grant no space access by default to a new workspace member</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BR-22, BRL-08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FR-503</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support access grants at space level with the roles defined in section 4</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BR-19</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S19</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FR-504</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support access restriction at folder level, overriding space-level grants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BR-19</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S19</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FR-505</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omit content a user cannot access, rather than displaying it in a disabled state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all</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FR-506</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apply access restriction when content is retrieved, not by filtering results afterwards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BR-18, BR-20</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FR-507</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apply a permission change to search and answers immediately, with no interval in which removed content remains reachable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BR-20</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S18, S19</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FR-508</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an administrator to determine what a specified person can access and which grant or restriction produces that outcome</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S19</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FR-509</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state the access consequence of removing a member before the removal is confirmed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BR-20</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FR-510</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prevent removal or demotion of the last remaining administrator</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FR-511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keep a recording accessible only to its uploader and workspace administrators until a draft procedure derived from it exists</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BRL-09</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S10</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FR-512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refuse a request for content the user is not permitted to access without revealing whether that content exists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BR-18</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bl>
    <w:p>
      <w:pPr>
        <w:spacing w:after="160"/>
      </w:pPr>
    </w:p>
    <w:p>
      <w:pPr>
        <w:spacing w:after="140" w:before="60" w:line="276"/>
      </w:pPr>
      <w:r>
        <w:rPr>
          <w:rFonts w:ascii="Calibri" w:cs="Calibri" w:eastAsia="Calibri" w:hAnsi="Calibri"/>
          <w:color w:val="1E2761"/>
          <w:sz w:val="20"/>
          <w:szCs w:val="20"/>
        </w:rPr>
        <w:t xml:space="preserve">FR-506 is a functional requirement rather than a design note because the distinction is observable: filtering after retrieval produces correct-looking results while still having exposed the content to the retrieval layer, and it fails differently under error conditions.</w:t>
      </w:r>
    </w:p>
    <w:p>
      <w:pPr>
        <w:pStyle w:val="Heading3"/>
        <w:spacing w:after="100" w:before="240"/>
      </w:pPr>
      <w:r>
        <w:rPr>
          <w:rFonts w:ascii="Calibri" w:cs="Calibri" w:eastAsia="Calibri" w:hAnsi="Calibri"/>
          <w:b/>
          <w:bCs/>
          <w:color w:val="1A1A1A"/>
          <w:sz w:val="23"/>
          <w:szCs w:val="23"/>
        </w:rPr>
        <w:t xml:space="preserve">5.6 FR-6xx — Retrieval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638"/>
        <w:gridCol w:w="853"/>
        <w:gridCol w:w="1377"/>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63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37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FR-601</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find documents by meaning, returning relevant content where the query wording differs from the document wording</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BR-16</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S14</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FR-602</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combine meaning-based and keyword matching when ranking results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BR-16</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S14</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FR-603</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results to be narrowed by space, owner, document type, state and date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BR-16</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S14</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FR-604</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make only approved content generally searchable, restricting draft visibility to its author and the document owner</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S14</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FR-605</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answer natural-language questions using approved content the asking user is permitted to access</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BR-13</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FR-606</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accompany every answer with a reference to the approved source, identifying document, version and the specific step or section</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BR-14, BRL-05</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FR-607</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not produce an answer that carries no source reference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BRL-05</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FR-608</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state that no approved content covers the question, rather than producing an answer, where no sufficiently relevant approved source exists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BR-15, BRL-05</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FR-609</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offer, on declining to answer, the action of capturing the missing procedure or requesting it from an owner</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BR-17</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FR-610</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 source reference to be opened at the exact step cited</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BR-14</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FR-611</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retain conversation context so follow-up questions are understood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BR-13</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FR-612</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 user to rate whether an answer was useful</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BR-17</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FR-613</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record questions it declined to answer and present them to administrators ranked by frequency</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BR-17, BR-34</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S20</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FR-614</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group equivalent questions when reporting unanswered questions, rather than listing each phrasing separately</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BR-34</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S20</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FR-615</w:t>
            </w:r>
          </w:p>
        </w:tc>
        <w:tc>
          <w:tcPr>
            <w:tcW w:type="dxa" w:w="463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index approved content on approval, and shall remove or update index entries when a document is archived or its access changes</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37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BRL-01, BR-20</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FR-616</w:t>
            </w:r>
          </w:p>
        </w:tc>
        <w:tc>
          <w:tcPr>
            <w:tcW w:type="dxa" w:w="463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present a direct answer above search results where one is available from approved content</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w:t>
            </w:r>
          </w:p>
        </w:tc>
        <w:tc>
          <w:tcPr>
            <w:tcW w:type="dxa" w:w="137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BR-13</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S14</w:t>
            </w:r>
          </w:p>
        </w:tc>
      </w:tr>
    </w:tbl>
    <w:p>
      <w:pPr>
        <w:spacing w:after="160"/>
      </w:pPr>
    </w:p>
    <w:p>
      <w:pPr>
        <w:spacing w:after="140" w:before="60" w:line="276"/>
      </w:pPr>
      <w:r>
        <w:rPr>
          <w:rFonts w:ascii="Calibri" w:cs="Calibri" w:eastAsia="Calibri" w:hAnsi="Calibri"/>
          <w:color w:val="1E2761"/>
          <w:sz w:val="20"/>
          <w:szCs w:val="20"/>
        </w:rPr>
        <w:t xml:space="preserve">FR-608 specifies a refusal, and FR-607 forbids an unsourced answer. Together they implement BRL-05. Acceptance testing must include questions with no possible approved answer; a fluent response to such a question is a failure, not a pass.</w:t>
      </w:r>
    </w:p>
    <w:p>
      <w:pPr>
        <w:pStyle w:val="Heading3"/>
        <w:spacing w:after="100" w:before="240"/>
      </w:pPr>
      <w:r>
        <w:rPr>
          <w:rFonts w:ascii="Calibri" w:cs="Calibri" w:eastAsia="Calibri" w:hAnsi="Calibri"/>
          <w:b/>
          <w:bCs/>
          <w:color w:val="1A1A1A"/>
          <w:sz w:val="23"/>
          <w:szCs w:val="23"/>
        </w:rPr>
        <w:t xml:space="preserve">5.7 FR-7xx — Handbook and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769"/>
        <w:gridCol w:w="853"/>
        <w:gridCol w:w="1246"/>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76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present a designated space as an ordered handbook with a persistent contents list</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BR-23</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S16</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 document to require acknowledgement from specified people</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BR-24</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S17</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FR-703</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record acknowledgement against the person, the document version and the date and time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BR-24, BRL-07</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S16</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FR-704</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re-obtain acknowledgement from all assigned people when a new version of a document requiring acknowledgement is approved</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BR-25, BRL-07</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S17</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FR-705</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show outstanding acknowledgements by document and by person</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BR-24</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S17</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FR-706</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 reminder to be sent to a person with an outstanding acknowledgement</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BR-24</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S17</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FR-707</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export acknowledgement records with one entry per person per document version</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BR-26</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S17</w:t>
            </w:r>
          </w:p>
        </w:tc>
      </w:tr>
    </w:tbl>
    <w:p>
      <w:pPr>
        <w:spacing w:after="160"/>
      </w:pPr>
    </w:p>
    <w:p>
      <w:pPr>
        <w:pStyle w:val="Heading3"/>
        <w:spacing w:after="100" w:before="240"/>
      </w:pPr>
      <w:r>
        <w:rPr>
          <w:rFonts w:ascii="Calibri" w:cs="Calibri" w:eastAsia="Calibri" w:hAnsi="Calibri"/>
          <w:b/>
          <w:bCs/>
          <w:color w:val="1A1A1A"/>
          <w:sz w:val="23"/>
          <w:szCs w:val="23"/>
        </w:rPr>
        <w:t xml:space="preserve">5.8 FR-8xx — Content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769"/>
        <w:gridCol w:w="853"/>
        <w:gridCol w:w="1246"/>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76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FR-801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offer to rewrite selected content into clear procedural language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BR-05</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FR-802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present a rewrite as a proposal alongside the original, applying it only on explicit acceptance</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BR-05</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FR-803</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translate a document into a selected language, creating a linked translation without replacing the source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BR-27</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FR-804</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mark a translation as out of date when its source document is re-approved</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BR-27</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S7</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FR-805</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not alter document content as a result of any assistance function without explicit user acceptance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BR-05, BRL-04</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S8</w:t>
            </w:r>
          </w:p>
        </w:tc>
      </w:tr>
    </w:tbl>
    <w:p>
      <w:pPr>
        <w:spacing w:after="160"/>
      </w:pPr>
    </w:p>
    <w:p>
      <w:pPr>
        <w:pStyle w:val="Heading3"/>
        <w:spacing w:after="100" w:before="240"/>
      </w:pPr>
      <w:r>
        <w:rPr>
          <w:rFonts w:ascii="Calibri" w:cs="Calibri" w:eastAsia="Calibri" w:hAnsi="Calibri"/>
          <w:b/>
          <w:bCs/>
          <w:color w:val="1A1A1A"/>
          <w:sz w:val="23"/>
          <w:szCs w:val="23"/>
        </w:rPr>
        <w:t xml:space="preserve">5.9 FR-9xx — Commercial and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4769"/>
        <w:gridCol w:w="853"/>
        <w:gridCol w:w="1246"/>
        <w:gridCol w:w="1246"/>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ID</w:t>
            </w:r>
          </w:p>
        </w:tc>
        <w:tc>
          <w:tcPr>
            <w:tcW w:type="dxa" w:w="476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85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Pri</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Trace</w:t>
            </w:r>
          </w:p>
        </w:tc>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Screen</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provide a free tier permitting procedure generation, limited by document count and user count rather than by withholding core capability</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BR-28</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S22</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provide a per-user paid tier and a flat tier including multiple seats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BR-29</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S22</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FR-903</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support upgrade, downgrade and seat changes, and shall handle payment failure with a stated grace period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BR-30</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S22</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FR-904</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present current usage against entitlement to the customer administrator</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BR-30</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S22</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FR-905</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communicate a reached limit with an explanation and an upgrade route, and shall not present it as an unexplained failure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BR-31</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S22</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FR-906</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surface an approaching limit within the application without interrupting the user's task</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BR-31</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FR-907</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record processing cost per generation and per customer</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BR-32</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FR-908</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report document counts by state, approval activity and question volume to administrators</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BR-33</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S20</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FR-909</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identify documents past their review date</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BR-11, BR-33</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S20</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FR-910</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an administrator to configure whether self-approval is permitted, whether recordings are retained after processing, and the default review cycle</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BRL-03</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S23</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FR-911</w:t>
            </w:r>
          </w:p>
        </w:tc>
        <w:tc>
          <w:tcPr>
            <w:tcW w:type="dxa" w:w="476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allow a person to manage their own notification preferences, except where a notification supports a compliance record</w:t>
            </w:r>
          </w:p>
        </w:tc>
        <w:tc>
          <w:tcPr>
            <w:tcW w:type="dxa" w:w="85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BR-24</w:t>
            </w:r>
          </w:p>
        </w:tc>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S24</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FR-912</w:t>
            </w:r>
          </w:p>
        </w:tc>
        <w:tc>
          <w:tcPr>
            <w:tcW w:type="dxa" w:w="476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The system shall provide a filterable, exportable view of the activity log</w:t>
            </w:r>
          </w:p>
        </w:tc>
        <w:tc>
          <w:tcPr>
            <w:tcW w:type="dxa" w:w="85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BR-12</w:t>
            </w:r>
          </w:p>
        </w:tc>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S21</w:t>
            </w:r>
          </w:p>
        </w:tc>
      </w:tr>
    </w:tbl>
    <w:p>
      <w:pPr>
        <w:spacing w:after="160"/>
      </w:pPr>
    </w:p>
    <w:p>
      <w:pPr>
        <w:spacing w:after="140" w:before="60" w:line="276"/>
      </w:pPr>
      <w:r>
        <w:rPr>
          <w:rFonts w:ascii="Calibri" w:cs="Calibri" w:eastAsia="Calibri" w:hAnsi="Calibri"/>
          <w:color w:val="1E2761"/>
          <w:sz w:val="20"/>
          <w:szCs w:val="20"/>
        </w:rPr>
        <w:t xml:space="preserve">FR-901 is worded to prevent a common product error. Limiting the free tier by removing generation would mean a prospect never experiences the thing being sold, which defeats BR-28.</w:t>
      </w:r>
    </w:p>
    <w:p>
      <w:pPr>
        <w:pStyle w:val="Heading2"/>
        <w:spacing w:after="140" w:before="320"/>
      </w:pPr>
      <w:r>
        <w:rPr>
          <w:rFonts w:ascii="Calibri Light" w:cs="Calibri Light" w:eastAsia="Calibri Light" w:hAnsi="Calibri Light"/>
          <w:b/>
          <w:bCs/>
          <w:color w:val="1E2761"/>
          <w:sz w:val="28"/>
          <w:szCs w:val="28"/>
        </w:rPr>
        <w:t xml:space="preserve">6. Primary use cases</w:t>
      </w:r>
    </w:p>
    <w:p>
      <w:pPr>
        <w:pStyle w:val="Heading3"/>
        <w:spacing w:after="100" w:before="240"/>
      </w:pPr>
      <w:r>
        <w:rPr>
          <w:rFonts w:ascii="Calibri" w:cs="Calibri" w:eastAsia="Calibri" w:hAnsi="Calibri"/>
          <w:b/>
          <w:bCs/>
          <w:color w:val="1A1A1A"/>
          <w:sz w:val="23"/>
          <w:szCs w:val="23"/>
        </w:rPr>
        <w:t xml:space="preserve">UC-01 — Document a process from a recording</w:t>
      </w:r>
    </w:p>
    <w:p>
      <w:pPr>
        <w:spacing w:after="140" w:before="60" w:line="276"/>
      </w:pPr>
      <w:r>
        <w:rPr>
          <w:rFonts w:ascii="Calibri" w:cs="Calibri" w:eastAsia="Calibri" w:hAnsi="Calibri"/>
          <w:b/>
          <w:bCs/>
          <w:color w:val="1E2761"/>
          <w:sz w:val="20"/>
          <w:szCs w:val="20"/>
        </w:rPr>
        <w:t xml:space="preserve">Actor:</w:t>
      </w:r>
      <w:r>
        <w:rPr>
          <w:rFonts w:ascii="Calibri" w:cs="Calibri" w:eastAsia="Calibri" w:hAnsi="Calibri"/>
          <w:color w:val="1E2761"/>
          <w:sz w:val="20"/>
          <w:szCs w:val="20"/>
        </w:rPr>
        <w:t xml:space="preserve"> Editor · </w:t>
      </w:r>
      <w:r>
        <w:rPr>
          <w:rFonts w:ascii="Calibri" w:cs="Calibri" w:eastAsia="Calibri" w:hAnsi="Calibri"/>
          <w:b/>
          <w:bCs/>
          <w:color w:val="1E2761"/>
          <w:sz w:val="20"/>
          <w:szCs w:val="20"/>
        </w:rPr>
        <w:t xml:space="preserve">Satisfies:</w:t>
      </w:r>
      <w:r>
        <w:rPr>
          <w:rFonts w:ascii="Calibri" w:cs="Calibri" w:eastAsia="Calibri" w:hAnsi="Calibri"/>
          <w:color w:val="1E2761"/>
          <w:sz w:val="20"/>
          <w:szCs w:val="20"/>
        </w:rPr>
        <w:t xml:space="preserve"> BR-01, BR-02, BR-03</w:t>
      </w:r>
    </w:p>
    <w:p>
      <w:pPr>
        <w:pStyle w:val="ListParagraph"/>
        <w:numPr>
          <w:ilvl w:val="0"/>
          <w:numId w:val="2"/>
        </w:numPr>
        <w:spacing w:after="40" w:before="40"/>
      </w:pPr>
      <w:r>
        <w:rPr>
          <w:rFonts w:ascii="Calibri" w:cs="Calibri" w:eastAsia="Calibri" w:hAnsi="Calibri"/>
          <w:color w:val="1E2761"/>
          <w:sz w:val="20"/>
          <w:szCs w:val="20"/>
        </w:rPr>
        <w:t xml:space="preserve">Editor initiates capture and is informed what will be recorded.</w:t>
      </w:r>
    </w:p>
    <w:p>
      <w:pPr>
        <w:pStyle w:val="ListParagraph"/>
        <w:numPr>
          <w:ilvl w:val="0"/>
          <w:numId w:val="2"/>
        </w:numPr>
        <w:spacing w:after="40" w:before="40"/>
      </w:pPr>
      <w:r>
        <w:rPr>
          <w:rFonts w:ascii="Calibri" w:cs="Calibri" w:eastAsia="Calibri" w:hAnsi="Calibri"/>
          <w:color w:val="1E2761"/>
          <w:sz w:val="20"/>
          <w:szCs w:val="20"/>
        </w:rPr>
        <w:t xml:space="preserve">Editor records the process, narrating as they work.</w:t>
      </w:r>
    </w:p>
    <w:p>
      <w:pPr>
        <w:pStyle w:val="ListParagraph"/>
        <w:numPr>
          <w:ilvl w:val="0"/>
          <w:numId w:val="2"/>
        </w:numPr>
        <w:spacing w:after="40" w:before="40"/>
      </w:pPr>
      <w:r>
        <w:rPr>
          <w:rFonts w:ascii="Calibri" w:cs="Calibri" w:eastAsia="Calibri" w:hAnsi="Calibri"/>
          <w:color w:val="1E2761"/>
          <w:sz w:val="20"/>
          <w:szCs w:val="20"/>
        </w:rPr>
        <w:t xml:space="preserve">Editor titles the recording and selects a destination space.</w:t>
      </w:r>
    </w:p>
    <w:p>
      <w:pPr>
        <w:pStyle w:val="ListParagraph"/>
        <w:numPr>
          <w:ilvl w:val="0"/>
          <w:numId w:val="2"/>
        </w:numPr>
        <w:spacing w:after="40" w:before="40"/>
      </w:pPr>
      <w:r>
        <w:rPr>
          <w:rFonts w:ascii="Calibri" w:cs="Calibri" w:eastAsia="Calibri" w:hAnsi="Calibri"/>
          <w:color w:val="1E2761"/>
          <w:sz w:val="20"/>
          <w:szCs w:val="20"/>
        </w:rPr>
        <w:t xml:space="preserve">System uploads, transcribes, segments, captures screenshots and generates a draft.</w:t>
      </w:r>
    </w:p>
    <w:p>
      <w:pPr>
        <w:pStyle w:val="ListParagraph"/>
        <w:numPr>
          <w:ilvl w:val="0"/>
          <w:numId w:val="2"/>
        </w:numPr>
        <w:spacing w:after="40" w:before="40"/>
      </w:pPr>
      <w:r>
        <w:rPr>
          <w:rFonts w:ascii="Calibri" w:cs="Calibri" w:eastAsia="Calibri" w:hAnsi="Calibri"/>
          <w:color w:val="1E2761"/>
          <w:sz w:val="20"/>
          <w:szCs w:val="20"/>
        </w:rPr>
        <w:t xml:space="preserve">System notifies the editor that a draft is ready.</w:t>
      </w:r>
    </w:p>
    <w:p>
      <w:pPr>
        <w:pStyle w:val="ListParagraph"/>
        <w:numPr>
          <w:ilvl w:val="0"/>
          <w:numId w:val="2"/>
        </w:numPr>
        <w:spacing w:after="40" w:before="40"/>
      </w:pPr>
      <w:r>
        <w:rPr>
          <w:rFonts w:ascii="Calibri" w:cs="Calibri" w:eastAsia="Calibri" w:hAnsi="Calibri"/>
          <w:color w:val="1E2761"/>
          <w:sz w:val="20"/>
          <w:szCs w:val="20"/>
        </w:rPr>
        <w:t xml:space="preserve">Editor reviews each step against the recording, correcting where needed, verifying each.</w:t>
      </w:r>
    </w:p>
    <w:p>
      <w:pPr>
        <w:pStyle w:val="ListParagraph"/>
        <w:numPr>
          <w:ilvl w:val="0"/>
          <w:numId w:val="2"/>
        </w:numPr>
        <w:spacing w:after="40" w:before="40"/>
      </w:pPr>
      <w:r>
        <w:rPr>
          <w:rFonts w:ascii="Calibri" w:cs="Calibri" w:eastAsia="Calibri" w:hAnsi="Calibri"/>
          <w:color w:val="1E2761"/>
          <w:sz w:val="20"/>
          <w:szCs w:val="20"/>
        </w:rPr>
        <w:t xml:space="preserve">Editor submits for approval once all steps are verified.</w:t>
      </w:r>
    </w:p>
    <w:p>
      <w:pPr>
        <w:spacing w:after="140" w:before="60" w:line="276"/>
      </w:pPr>
      <w:r>
        <w:rPr>
          <w:rFonts w:ascii="Calibri" w:cs="Calibri" w:eastAsia="Calibri" w:hAnsi="Calibri"/>
          <w:b/>
          <w:bCs/>
          <w:color w:val="1E2761"/>
          <w:sz w:val="20"/>
          <w:szCs w:val="20"/>
        </w:rPr>
        <w:t xml:space="preserve">Alternate — insufficient audio (FR-314):</w:t>
      </w:r>
      <w:r>
        <w:rPr>
          <w:rFonts w:ascii="Calibri" w:cs="Calibri" w:eastAsia="Calibri" w:hAnsi="Calibri"/>
          <w:color w:val="1E2761"/>
          <w:sz w:val="20"/>
          <w:szCs w:val="20"/>
        </w:rPr>
        <w:t xml:space="preserve"> system halts, states the cause, offers retry or replacement. No draft is produced.</w:t>
      </w:r>
    </w:p>
    <w:p>
      <w:pPr>
        <w:spacing w:after="140" w:before="60" w:line="276"/>
      </w:pPr>
      <w:r>
        <w:rPr>
          <w:rFonts w:ascii="Calibri" w:cs="Calibri" w:eastAsia="Calibri" w:hAnsi="Calibri"/>
          <w:b/>
          <w:bCs/>
          <w:color w:val="1E2761"/>
          <w:sz w:val="20"/>
          <w:szCs w:val="20"/>
        </w:rPr>
        <w:t xml:space="preserve">Alternate — upload interrupted (FR-304):</w:t>
      </w:r>
      <w:r>
        <w:rPr>
          <w:rFonts w:ascii="Calibri" w:cs="Calibri" w:eastAsia="Calibri" w:hAnsi="Calibri"/>
          <w:color w:val="1E2761"/>
          <w:sz w:val="20"/>
          <w:szCs w:val="20"/>
        </w:rPr>
        <w:t xml:space="preserve"> upload resumes; no user action required.</w:t>
      </w:r>
    </w:p>
    <w:p>
      <w:pPr>
        <w:spacing w:after="140" w:before="60" w:line="276"/>
      </w:pPr>
      <w:r>
        <w:rPr>
          <w:rFonts w:ascii="Calibri" w:cs="Calibri" w:eastAsia="Calibri" w:hAnsi="Calibri"/>
          <w:b/>
          <w:bCs/>
          <w:color w:val="1E2761"/>
          <w:sz w:val="20"/>
          <w:szCs w:val="20"/>
        </w:rPr>
        <w:t xml:space="preserve">Exception — editor attempts submission with unverified steps (FR-315):</w:t>
      </w:r>
      <w:r>
        <w:rPr>
          <w:rFonts w:ascii="Calibri" w:cs="Calibri" w:eastAsia="Calibri" w:hAnsi="Calibri"/>
          <w:color w:val="1E2761"/>
          <w:sz w:val="20"/>
          <w:szCs w:val="20"/>
        </w:rPr>
        <w:t xml:space="preserve"> submission is unavailable and the outstanding count is shown.</w:t>
      </w:r>
    </w:p>
    <w:p>
      <w:pPr>
        <w:pStyle w:val="Heading3"/>
        <w:spacing w:after="100" w:before="240"/>
      </w:pPr>
      <w:r>
        <w:rPr>
          <w:rFonts w:ascii="Calibri" w:cs="Calibri" w:eastAsia="Calibri" w:hAnsi="Calibri"/>
          <w:b/>
          <w:bCs/>
          <w:color w:val="1A1A1A"/>
          <w:sz w:val="23"/>
          <w:szCs w:val="23"/>
        </w:rPr>
        <w:t xml:space="preserve">UC-02 — Approve and publish</w:t>
      </w:r>
    </w:p>
    <w:p>
      <w:pPr>
        <w:spacing w:after="140" w:before="60" w:line="276"/>
      </w:pPr>
      <w:r>
        <w:rPr>
          <w:rFonts w:ascii="Calibri" w:cs="Calibri" w:eastAsia="Calibri" w:hAnsi="Calibri"/>
          <w:b/>
          <w:bCs/>
          <w:color w:val="1E2761"/>
          <w:sz w:val="20"/>
          <w:szCs w:val="20"/>
        </w:rPr>
        <w:t xml:space="preserve">Actor:</w:t>
      </w:r>
      <w:r>
        <w:rPr>
          <w:rFonts w:ascii="Calibri" w:cs="Calibri" w:eastAsia="Calibri" w:hAnsi="Calibri"/>
          <w:color w:val="1E2761"/>
          <w:sz w:val="20"/>
          <w:szCs w:val="20"/>
        </w:rPr>
        <w:t xml:space="preserve"> Approver · </w:t>
      </w:r>
      <w:r>
        <w:rPr>
          <w:rFonts w:ascii="Calibri" w:cs="Calibri" w:eastAsia="Calibri" w:hAnsi="Calibri"/>
          <w:b/>
          <w:bCs/>
          <w:color w:val="1E2761"/>
          <w:sz w:val="20"/>
          <w:szCs w:val="20"/>
        </w:rPr>
        <w:t xml:space="preserve">Satisfies:</w:t>
      </w:r>
      <w:r>
        <w:rPr>
          <w:rFonts w:ascii="Calibri" w:cs="Calibri" w:eastAsia="Calibri" w:hAnsi="Calibri"/>
          <w:color w:val="1E2761"/>
          <w:sz w:val="20"/>
          <w:szCs w:val="20"/>
        </w:rPr>
        <w:t xml:space="preserve"> BR-07, BR-08, BR-09</w:t>
      </w:r>
    </w:p>
    <w:p>
      <w:pPr>
        <w:pStyle w:val="ListParagraph"/>
        <w:numPr>
          <w:ilvl w:val="0"/>
          <w:numId w:val="3"/>
        </w:numPr>
        <w:spacing w:after="40" w:before="40"/>
      </w:pPr>
      <w:r>
        <w:rPr>
          <w:rFonts w:ascii="Calibri" w:cs="Calibri" w:eastAsia="Calibri" w:hAnsi="Calibri"/>
          <w:color w:val="1E2761"/>
          <w:sz w:val="20"/>
          <w:szCs w:val="20"/>
        </w:rPr>
        <w:t xml:space="preserve">Approver opens a document awaiting review.</w:t>
      </w:r>
    </w:p>
    <w:p>
      <w:pPr>
        <w:pStyle w:val="ListParagraph"/>
        <w:numPr>
          <w:ilvl w:val="0"/>
          <w:numId w:val="3"/>
        </w:numPr>
        <w:spacing w:after="40" w:before="40"/>
      </w:pPr>
      <w:r>
        <w:rPr>
          <w:rFonts w:ascii="Calibri" w:cs="Calibri" w:eastAsia="Calibri" w:hAnsi="Calibri"/>
          <w:color w:val="1E2761"/>
          <w:sz w:val="20"/>
          <w:szCs w:val="20"/>
        </w:rPr>
        <w:t xml:space="preserve">System presents what has changed since the last approved version.</w:t>
      </w:r>
    </w:p>
    <w:p>
      <w:pPr>
        <w:pStyle w:val="ListParagraph"/>
        <w:numPr>
          <w:ilvl w:val="0"/>
          <w:numId w:val="3"/>
        </w:numPr>
        <w:spacing w:after="40" w:before="40"/>
      </w:pPr>
      <w:r>
        <w:rPr>
          <w:rFonts w:ascii="Calibri" w:cs="Calibri" w:eastAsia="Calibri" w:hAnsi="Calibri"/>
          <w:color w:val="1E2761"/>
          <w:sz w:val="20"/>
          <w:szCs w:val="20"/>
        </w:rPr>
        <w:t xml:space="preserve">Approver reviews and either approves or requests changes with a comment.</w:t>
      </w:r>
    </w:p>
    <w:p>
      <w:pPr>
        <w:pStyle w:val="ListParagraph"/>
        <w:numPr>
          <w:ilvl w:val="0"/>
          <w:numId w:val="3"/>
        </w:numPr>
        <w:spacing w:after="40" w:before="40"/>
      </w:pPr>
      <w:r>
        <w:rPr>
          <w:rFonts w:ascii="Calibri" w:cs="Calibri" w:eastAsia="Calibri" w:hAnsi="Calibri"/>
          <w:color w:val="1E2761"/>
          <w:sz w:val="20"/>
          <w:szCs w:val="20"/>
        </w:rPr>
        <w:t xml:space="preserve">On approval, system creates a version record, publishes, and indexes for retrieval.</w:t>
      </w:r>
    </w:p>
    <w:p>
      <w:pPr>
        <w:pStyle w:val="ListParagraph"/>
        <w:numPr>
          <w:ilvl w:val="0"/>
          <w:numId w:val="3"/>
        </w:numPr>
        <w:spacing w:after="40" w:before="40"/>
      </w:pPr>
      <w:r>
        <w:rPr>
          <w:rFonts w:ascii="Calibri" w:cs="Calibri" w:eastAsia="Calibri" w:hAnsi="Calibri"/>
          <w:color w:val="1E2761"/>
          <w:sz w:val="20"/>
          <w:szCs w:val="20"/>
        </w:rPr>
        <w:t xml:space="preserve">Submitter is notified.</w:t>
      </w:r>
    </w:p>
    <w:p>
      <w:pPr>
        <w:spacing w:after="140" w:before="60" w:line="276"/>
      </w:pPr>
      <w:r>
        <w:rPr>
          <w:rFonts w:ascii="Calibri" w:cs="Calibri" w:eastAsia="Calibri" w:hAnsi="Calibri"/>
          <w:b/>
          <w:bCs/>
          <w:color w:val="1E2761"/>
          <w:sz w:val="20"/>
          <w:szCs w:val="20"/>
        </w:rPr>
        <w:t xml:space="preserve">Exception — approver is the submitter (FR-404):</w:t>
      </w:r>
      <w:r>
        <w:rPr>
          <w:rFonts w:ascii="Calibri" w:cs="Calibri" w:eastAsia="Calibri" w:hAnsi="Calibri"/>
          <w:color w:val="1E2761"/>
          <w:sz w:val="20"/>
          <w:szCs w:val="20"/>
        </w:rPr>
        <w:t xml:space="preserve"> approval is unavailable unless self-approval is enabled.</w:t>
      </w:r>
    </w:p>
    <w:p>
      <w:pPr>
        <w:spacing w:after="140" w:before="60" w:line="276"/>
      </w:pPr>
      <w:r>
        <w:rPr>
          <w:rFonts w:ascii="Calibri" w:cs="Calibri" w:eastAsia="Calibri" w:hAnsi="Calibri"/>
          <w:b/>
          <w:bCs/>
          <w:color w:val="1E2761"/>
          <w:sz w:val="20"/>
          <w:szCs w:val="20"/>
        </w:rPr>
        <w:t xml:space="preserve">Exception — document changed during review (FR-210):</w:t>
      </w:r>
      <w:r>
        <w:rPr>
          <w:rFonts w:ascii="Calibri" w:cs="Calibri" w:eastAsia="Calibri" w:hAnsi="Calibri"/>
          <w:color w:val="1E2761"/>
          <w:sz w:val="20"/>
          <w:szCs w:val="20"/>
        </w:rPr>
        <w:t xml:space="preserve"> approval is refused and the current state is presented.</w:t>
      </w:r>
    </w:p>
    <w:p>
      <w:pPr>
        <w:pStyle w:val="Heading3"/>
        <w:spacing w:after="100" w:before="240"/>
      </w:pPr>
      <w:r>
        <w:rPr>
          <w:rFonts w:ascii="Calibri" w:cs="Calibri" w:eastAsia="Calibri" w:hAnsi="Calibri"/>
          <w:b/>
          <w:bCs/>
          <w:color w:val="1A1A1A"/>
          <w:sz w:val="23"/>
          <w:szCs w:val="23"/>
        </w:rPr>
        <w:t xml:space="preserve">UC-03 — Get an answer</w:t>
      </w:r>
    </w:p>
    <w:p>
      <w:pPr>
        <w:spacing w:after="140" w:before="60" w:line="276"/>
      </w:pPr>
      <w:r>
        <w:rPr>
          <w:rFonts w:ascii="Calibri" w:cs="Calibri" w:eastAsia="Calibri" w:hAnsi="Calibri"/>
          <w:b/>
          <w:bCs/>
          <w:color w:val="1E2761"/>
          <w:sz w:val="20"/>
          <w:szCs w:val="20"/>
        </w:rPr>
        <w:t xml:space="preserve">Actor:</w:t>
      </w:r>
      <w:r>
        <w:rPr>
          <w:rFonts w:ascii="Calibri" w:cs="Calibri" w:eastAsia="Calibri" w:hAnsi="Calibri"/>
          <w:color w:val="1E2761"/>
          <w:sz w:val="20"/>
          <w:szCs w:val="20"/>
        </w:rPr>
        <w:t xml:space="preserve"> Reader · </w:t>
      </w:r>
      <w:r>
        <w:rPr>
          <w:rFonts w:ascii="Calibri" w:cs="Calibri" w:eastAsia="Calibri" w:hAnsi="Calibri"/>
          <w:b/>
          <w:bCs/>
          <w:color w:val="1E2761"/>
          <w:sz w:val="20"/>
          <w:szCs w:val="20"/>
        </w:rPr>
        <w:t xml:space="preserve">Satisfies:</w:t>
      </w:r>
      <w:r>
        <w:rPr>
          <w:rFonts w:ascii="Calibri" w:cs="Calibri" w:eastAsia="Calibri" w:hAnsi="Calibri"/>
          <w:color w:val="1E2761"/>
          <w:sz w:val="20"/>
          <w:szCs w:val="20"/>
        </w:rPr>
        <w:t xml:space="preserve"> BR-13, BR-14, BR-15</w:t>
      </w:r>
    </w:p>
    <w:p>
      <w:pPr>
        <w:pStyle w:val="ListParagraph"/>
        <w:numPr>
          <w:ilvl w:val="0"/>
          <w:numId w:val="4"/>
        </w:numPr>
        <w:spacing w:after="40" w:before="40"/>
      </w:pPr>
      <w:r>
        <w:rPr>
          <w:rFonts w:ascii="Calibri" w:cs="Calibri" w:eastAsia="Calibri" w:hAnsi="Calibri"/>
          <w:color w:val="1E2761"/>
          <w:sz w:val="20"/>
          <w:szCs w:val="20"/>
        </w:rPr>
        <w:t xml:space="preserve">Reader asks a question in their own words.</w:t>
      </w:r>
    </w:p>
    <w:p>
      <w:pPr>
        <w:pStyle w:val="ListParagraph"/>
        <w:numPr>
          <w:ilvl w:val="0"/>
          <w:numId w:val="4"/>
        </w:numPr>
        <w:spacing w:after="40" w:before="40"/>
      </w:pPr>
      <w:r>
        <w:rPr>
          <w:rFonts w:ascii="Calibri" w:cs="Calibri" w:eastAsia="Calibri" w:hAnsi="Calibri"/>
          <w:color w:val="1E2761"/>
          <w:sz w:val="20"/>
          <w:szCs w:val="20"/>
        </w:rPr>
        <w:t xml:space="preserve">System retrieves approved content within the reader's permitted access.</w:t>
      </w:r>
    </w:p>
    <w:p>
      <w:pPr>
        <w:pStyle w:val="ListParagraph"/>
        <w:numPr>
          <w:ilvl w:val="0"/>
          <w:numId w:val="4"/>
        </w:numPr>
        <w:spacing w:after="40" w:before="40"/>
      </w:pPr>
      <w:r>
        <w:rPr>
          <w:rFonts w:ascii="Calibri" w:cs="Calibri" w:eastAsia="Calibri" w:hAnsi="Calibri"/>
          <w:color w:val="1E2761"/>
          <w:sz w:val="20"/>
          <w:szCs w:val="20"/>
        </w:rPr>
        <w:t xml:space="preserve">System answers, citing each source at step level.</w:t>
      </w:r>
    </w:p>
    <w:p>
      <w:pPr>
        <w:pStyle w:val="ListParagraph"/>
        <w:numPr>
          <w:ilvl w:val="0"/>
          <w:numId w:val="4"/>
        </w:numPr>
        <w:spacing w:after="40" w:before="40"/>
      </w:pPr>
      <w:r>
        <w:rPr>
          <w:rFonts w:ascii="Calibri" w:cs="Calibri" w:eastAsia="Calibri" w:hAnsi="Calibri"/>
          <w:color w:val="1E2761"/>
          <w:sz w:val="20"/>
          <w:szCs w:val="20"/>
        </w:rPr>
        <w:t xml:space="preserve">Reader opens a citation to read the source in context.</w:t>
      </w:r>
    </w:p>
    <w:p>
      <w:pPr>
        <w:spacing w:after="140" w:before="60" w:line="276"/>
      </w:pPr>
      <w:r>
        <w:rPr>
          <w:rFonts w:ascii="Calibri" w:cs="Calibri" w:eastAsia="Calibri" w:hAnsi="Calibri"/>
          <w:b/>
          <w:bCs/>
          <w:color w:val="1E2761"/>
          <w:sz w:val="20"/>
          <w:szCs w:val="20"/>
        </w:rPr>
        <w:t xml:space="preserve">Alternate — no approved source (FR-608):</w:t>
      </w:r>
      <w:r>
        <w:rPr>
          <w:rFonts w:ascii="Calibri" w:cs="Calibri" w:eastAsia="Calibri" w:hAnsi="Calibri"/>
          <w:color w:val="1E2761"/>
          <w:sz w:val="20"/>
          <w:szCs w:val="20"/>
        </w:rPr>
        <w:t xml:space="preserve"> system states that nothing approved covers the question, names the nearest related content, and offers to capture or request the procedure. The question is recorded as a gap.</w:t>
      </w:r>
    </w:p>
    <w:p>
      <w:pPr>
        <w:spacing w:after="140" w:before="60" w:line="276"/>
      </w:pPr>
      <w:r>
        <w:rPr>
          <w:rFonts w:ascii="Calibri" w:cs="Calibri" w:eastAsia="Calibri" w:hAnsi="Calibri"/>
          <w:b/>
          <w:bCs/>
          <w:color w:val="1E2761"/>
          <w:sz w:val="20"/>
          <w:szCs w:val="20"/>
        </w:rPr>
        <w:t xml:space="preserve">Exception — reader lacks access to the only relevant content (FR-512):</w:t>
      </w:r>
      <w:r>
        <w:rPr>
          <w:rFonts w:ascii="Calibri" w:cs="Calibri" w:eastAsia="Calibri" w:hAnsi="Calibri"/>
          <w:color w:val="1E2761"/>
          <w:sz w:val="20"/>
          <w:szCs w:val="20"/>
        </w:rPr>
        <w:t xml:space="preserve"> system behaves identically to there being no content, disclosing nothing.</w:t>
      </w:r>
    </w:p>
    <w:p>
      <w:pPr>
        <w:pStyle w:val="Heading3"/>
        <w:spacing w:after="100" w:before="240"/>
      </w:pPr>
      <w:r>
        <w:rPr>
          <w:rFonts w:ascii="Calibri" w:cs="Calibri" w:eastAsia="Calibri" w:hAnsi="Calibri"/>
          <w:b/>
          <w:bCs/>
          <w:color w:val="1A1A1A"/>
          <w:sz w:val="23"/>
          <w:szCs w:val="23"/>
        </w:rPr>
        <w:t xml:space="preserve">UC-04 — Revise a published procedure</w:t>
      </w:r>
    </w:p>
    <w:p>
      <w:pPr>
        <w:spacing w:after="140" w:before="60" w:line="276"/>
      </w:pPr>
      <w:r>
        <w:rPr>
          <w:rFonts w:ascii="Calibri" w:cs="Calibri" w:eastAsia="Calibri" w:hAnsi="Calibri"/>
          <w:b/>
          <w:bCs/>
          <w:color w:val="1E2761"/>
          <w:sz w:val="20"/>
          <w:szCs w:val="20"/>
        </w:rPr>
        <w:t xml:space="preserve">Actor:</w:t>
      </w:r>
      <w:r>
        <w:rPr>
          <w:rFonts w:ascii="Calibri" w:cs="Calibri" w:eastAsia="Calibri" w:hAnsi="Calibri"/>
          <w:color w:val="1E2761"/>
          <w:sz w:val="20"/>
          <w:szCs w:val="20"/>
        </w:rPr>
        <w:t xml:space="preserve"> Editor, Approver · </w:t>
      </w:r>
      <w:r>
        <w:rPr>
          <w:rFonts w:ascii="Calibri" w:cs="Calibri" w:eastAsia="Calibri" w:hAnsi="Calibri"/>
          <w:b/>
          <w:bCs/>
          <w:color w:val="1E2761"/>
          <w:sz w:val="20"/>
          <w:szCs w:val="20"/>
        </w:rPr>
        <w:t xml:space="preserve">Satisfies:</w:t>
      </w:r>
      <w:r>
        <w:rPr>
          <w:rFonts w:ascii="Calibri" w:cs="Calibri" w:eastAsia="Calibri" w:hAnsi="Calibri"/>
          <w:color w:val="1E2761"/>
          <w:sz w:val="20"/>
          <w:szCs w:val="20"/>
        </w:rPr>
        <w:t xml:space="preserve"> BR-08, BR-10</w:t>
      </w:r>
    </w:p>
    <w:p>
      <w:pPr>
        <w:pStyle w:val="ListParagraph"/>
        <w:numPr>
          <w:ilvl w:val="0"/>
          <w:numId w:val="5"/>
        </w:numPr>
        <w:spacing w:after="40" w:before="40"/>
      </w:pPr>
      <w:r>
        <w:rPr>
          <w:rFonts w:ascii="Calibri" w:cs="Calibri" w:eastAsia="Calibri" w:hAnsi="Calibri"/>
          <w:color w:val="1E2761"/>
          <w:sz w:val="20"/>
          <w:szCs w:val="20"/>
        </w:rPr>
        <w:t xml:space="preserve">Editor opens an approved procedure and begins editing.</w:t>
      </w:r>
    </w:p>
    <w:p>
      <w:pPr>
        <w:pStyle w:val="ListParagraph"/>
        <w:numPr>
          <w:ilvl w:val="0"/>
          <w:numId w:val="5"/>
        </w:numPr>
        <w:spacing w:after="40" w:before="40"/>
      </w:pPr>
      <w:r>
        <w:rPr>
          <w:rFonts w:ascii="Calibri" w:cs="Calibri" w:eastAsia="Calibri" w:hAnsi="Calibri"/>
          <w:color w:val="1E2761"/>
          <w:sz w:val="20"/>
          <w:szCs w:val="20"/>
        </w:rPr>
        <w:t xml:space="preserve">System creates a draft revision and states that the published version remains live.</w:t>
      </w:r>
    </w:p>
    <w:p>
      <w:pPr>
        <w:pStyle w:val="ListParagraph"/>
        <w:numPr>
          <w:ilvl w:val="0"/>
          <w:numId w:val="5"/>
        </w:numPr>
        <w:spacing w:after="40" w:before="40"/>
      </w:pPr>
      <w:r>
        <w:rPr>
          <w:rFonts w:ascii="Calibri" w:cs="Calibri" w:eastAsia="Calibri" w:hAnsi="Calibri"/>
          <w:color w:val="1E2761"/>
          <w:sz w:val="20"/>
          <w:szCs w:val="20"/>
        </w:rPr>
        <w:t xml:space="preserve">Editor submits; approver approves.</w:t>
      </w:r>
    </w:p>
    <w:p>
      <w:pPr>
        <w:pStyle w:val="ListParagraph"/>
        <w:numPr>
          <w:ilvl w:val="0"/>
          <w:numId w:val="5"/>
        </w:numPr>
        <w:spacing w:after="40" w:before="40"/>
      </w:pPr>
      <w:r>
        <w:rPr>
          <w:rFonts w:ascii="Calibri" w:cs="Calibri" w:eastAsia="Calibri" w:hAnsi="Calibri"/>
          <w:color w:val="1E2761"/>
          <w:sz w:val="20"/>
          <w:szCs w:val="20"/>
        </w:rPr>
        <w:t xml:space="preserve">System supersedes the previous version, which remains retrievable in history.</w:t>
      </w:r>
    </w:p>
    <w:p>
      <w:pPr>
        <w:pStyle w:val="Heading3"/>
        <w:spacing w:after="100" w:before="240"/>
      </w:pPr>
      <w:r>
        <w:rPr>
          <w:rFonts w:ascii="Calibri" w:cs="Calibri" w:eastAsia="Calibri" w:hAnsi="Calibri"/>
          <w:b/>
          <w:bCs/>
          <w:color w:val="1A1A1A"/>
          <w:sz w:val="23"/>
          <w:szCs w:val="23"/>
        </w:rPr>
        <w:t xml:space="preserve">UC-05 — Distribute and evidence a policy</w:t>
      </w:r>
    </w:p>
    <w:p>
      <w:pPr>
        <w:spacing w:after="140" w:before="60" w:line="276"/>
      </w:pPr>
      <w:r>
        <w:rPr>
          <w:rFonts w:ascii="Calibri" w:cs="Calibri" w:eastAsia="Calibri" w:hAnsi="Calibri"/>
          <w:b/>
          <w:bCs/>
          <w:color w:val="1E2761"/>
          <w:sz w:val="20"/>
          <w:szCs w:val="20"/>
        </w:rPr>
        <w:t xml:space="preserve">Actor:</w:t>
      </w:r>
      <w:r>
        <w:rPr>
          <w:rFonts w:ascii="Calibri" w:cs="Calibri" w:eastAsia="Calibri" w:hAnsi="Calibri"/>
          <w:color w:val="1E2761"/>
          <w:sz w:val="20"/>
          <w:szCs w:val="20"/>
        </w:rPr>
        <w:t xml:space="preserve"> Administrator, Reader · </w:t>
      </w:r>
      <w:r>
        <w:rPr>
          <w:rFonts w:ascii="Calibri" w:cs="Calibri" w:eastAsia="Calibri" w:hAnsi="Calibri"/>
          <w:b/>
          <w:bCs/>
          <w:color w:val="1E2761"/>
          <w:sz w:val="20"/>
          <w:szCs w:val="20"/>
        </w:rPr>
        <w:t xml:space="preserve">Satisfies:</w:t>
      </w:r>
      <w:r>
        <w:rPr>
          <w:rFonts w:ascii="Calibri" w:cs="Calibri" w:eastAsia="Calibri" w:hAnsi="Calibri"/>
          <w:color w:val="1E2761"/>
          <w:sz w:val="20"/>
          <w:szCs w:val="20"/>
        </w:rPr>
        <w:t xml:space="preserve"> BR-23, BR-24, BR-25, BR-26</w:t>
      </w:r>
    </w:p>
    <w:p>
      <w:pPr>
        <w:pStyle w:val="ListParagraph"/>
        <w:numPr>
          <w:ilvl w:val="0"/>
          <w:numId w:val="6"/>
        </w:numPr>
        <w:spacing w:after="40" w:before="40"/>
      </w:pPr>
      <w:r>
        <w:rPr>
          <w:rFonts w:ascii="Calibri" w:cs="Calibri" w:eastAsia="Calibri" w:hAnsi="Calibri"/>
          <w:color w:val="1E2761"/>
          <w:sz w:val="20"/>
          <w:szCs w:val="20"/>
        </w:rPr>
        <w:t xml:space="preserve">Administrator publishes a policy requiring acknowledgement and assigns recipients.</w:t>
      </w:r>
    </w:p>
    <w:p>
      <w:pPr>
        <w:pStyle w:val="ListParagraph"/>
        <w:numPr>
          <w:ilvl w:val="0"/>
          <w:numId w:val="6"/>
        </w:numPr>
        <w:spacing w:after="40" w:before="40"/>
      </w:pPr>
      <w:r>
        <w:rPr>
          <w:rFonts w:ascii="Calibri" w:cs="Calibri" w:eastAsia="Calibri" w:hAnsi="Calibri"/>
          <w:color w:val="1E2761"/>
          <w:sz w:val="20"/>
          <w:szCs w:val="20"/>
        </w:rPr>
        <w:t xml:space="preserve">Recipients are notified and prompted on opening the document.</w:t>
      </w:r>
    </w:p>
    <w:p>
      <w:pPr>
        <w:pStyle w:val="ListParagraph"/>
        <w:numPr>
          <w:ilvl w:val="0"/>
          <w:numId w:val="6"/>
        </w:numPr>
        <w:spacing w:after="40" w:before="40"/>
      </w:pPr>
      <w:r>
        <w:rPr>
          <w:rFonts w:ascii="Calibri" w:cs="Calibri" w:eastAsia="Calibri" w:hAnsi="Calibri"/>
          <w:color w:val="1E2761"/>
          <w:sz w:val="20"/>
          <w:szCs w:val="20"/>
        </w:rPr>
        <w:t xml:space="preserve">Reader acknowledges; system records person, version, date and time.</w:t>
      </w:r>
    </w:p>
    <w:p>
      <w:pPr>
        <w:pStyle w:val="ListParagraph"/>
        <w:numPr>
          <w:ilvl w:val="0"/>
          <w:numId w:val="6"/>
        </w:numPr>
        <w:spacing w:after="40" w:before="40"/>
      </w:pPr>
      <w:r>
        <w:rPr>
          <w:rFonts w:ascii="Calibri" w:cs="Calibri" w:eastAsia="Calibri" w:hAnsi="Calibri"/>
          <w:color w:val="1E2761"/>
          <w:sz w:val="20"/>
          <w:szCs w:val="20"/>
        </w:rPr>
        <w:t xml:space="preserve">Administrator reviews outstanding acknowledgements and exports the record.</w:t>
      </w:r>
    </w:p>
    <w:p>
      <w:pPr>
        <w:spacing w:after="140" w:before="60" w:line="276"/>
      </w:pPr>
      <w:r>
        <w:rPr>
          <w:rFonts w:ascii="Calibri" w:cs="Calibri" w:eastAsia="Calibri" w:hAnsi="Calibri"/>
          <w:b/>
          <w:bCs/>
          <w:color w:val="1E2761"/>
          <w:sz w:val="20"/>
          <w:szCs w:val="20"/>
        </w:rPr>
        <w:t xml:space="preserve">Alternate — policy is republished (FR-704):</w:t>
      </w:r>
      <w:r>
        <w:rPr>
          <w:rFonts w:ascii="Calibri" w:cs="Calibri" w:eastAsia="Calibri" w:hAnsi="Calibri"/>
          <w:color w:val="1E2761"/>
          <w:sz w:val="20"/>
          <w:szCs w:val="20"/>
        </w:rPr>
        <w:t xml:space="preserve"> prior acknowledgements are superseded and re-obtained.</w:t>
      </w:r>
    </w:p>
    <w:p>
      <w:pPr>
        <w:pStyle w:val="Heading3"/>
        <w:spacing w:after="100" w:before="240"/>
      </w:pPr>
      <w:r>
        <w:rPr>
          <w:rFonts w:ascii="Calibri" w:cs="Calibri" w:eastAsia="Calibri" w:hAnsi="Calibri"/>
          <w:b/>
          <w:bCs/>
          <w:color w:val="1A1A1A"/>
          <w:sz w:val="23"/>
          <w:szCs w:val="23"/>
        </w:rPr>
        <w:t xml:space="preserve">UC-06 — Configure and verify access</w:t>
      </w:r>
    </w:p>
    <w:p>
      <w:pPr>
        <w:spacing w:after="140" w:before="60" w:line="276"/>
      </w:pPr>
      <w:r>
        <w:rPr>
          <w:rFonts w:ascii="Calibri" w:cs="Calibri" w:eastAsia="Calibri" w:hAnsi="Calibri"/>
          <w:b/>
          <w:bCs/>
          <w:color w:val="1E2761"/>
          <w:sz w:val="20"/>
          <w:szCs w:val="20"/>
        </w:rPr>
        <w:t xml:space="preserve">Actor:</w:t>
      </w:r>
      <w:r>
        <w:rPr>
          <w:rFonts w:ascii="Calibri" w:cs="Calibri" w:eastAsia="Calibri" w:hAnsi="Calibri"/>
          <w:color w:val="1E2761"/>
          <w:sz w:val="20"/>
          <w:szCs w:val="20"/>
        </w:rPr>
        <w:t xml:space="preserve"> Administrator · </w:t>
      </w:r>
      <w:r>
        <w:rPr>
          <w:rFonts w:ascii="Calibri" w:cs="Calibri" w:eastAsia="Calibri" w:hAnsi="Calibri"/>
          <w:b/>
          <w:bCs/>
          <w:color w:val="1E2761"/>
          <w:sz w:val="20"/>
          <w:szCs w:val="20"/>
        </w:rPr>
        <w:t xml:space="preserve">Satisfies:</w:t>
      </w:r>
      <w:r>
        <w:rPr>
          <w:rFonts w:ascii="Calibri" w:cs="Calibri" w:eastAsia="Calibri" w:hAnsi="Calibri"/>
          <w:color w:val="1E2761"/>
          <w:sz w:val="20"/>
          <w:szCs w:val="20"/>
        </w:rPr>
        <w:t xml:space="preserve"> BR-19, BR-20, BR-21</w:t>
      </w:r>
    </w:p>
    <w:p>
      <w:pPr>
        <w:pStyle w:val="ListParagraph"/>
        <w:numPr>
          <w:ilvl w:val="0"/>
          <w:numId w:val="7"/>
        </w:numPr>
        <w:spacing w:after="40" w:before="40"/>
      </w:pPr>
      <w:r>
        <w:rPr>
          <w:rFonts w:ascii="Calibri" w:cs="Calibri" w:eastAsia="Calibri" w:hAnsi="Calibri"/>
          <w:color w:val="1E2761"/>
          <w:sz w:val="20"/>
          <w:szCs w:val="20"/>
        </w:rPr>
        <w:t xml:space="preserve">Administrator grants a person a role within a space.</w:t>
      </w:r>
    </w:p>
    <w:p>
      <w:pPr>
        <w:pStyle w:val="ListParagraph"/>
        <w:numPr>
          <w:ilvl w:val="0"/>
          <w:numId w:val="7"/>
        </w:numPr>
        <w:spacing w:after="40" w:before="40"/>
      </w:pPr>
      <w:r>
        <w:rPr>
          <w:rFonts w:ascii="Calibri" w:cs="Calibri" w:eastAsia="Calibri" w:hAnsi="Calibri"/>
          <w:color w:val="1E2761"/>
          <w:sz w:val="20"/>
          <w:szCs w:val="20"/>
        </w:rPr>
        <w:t xml:space="preserve">Administrator optionally restricts access to a folder within that space.</w:t>
      </w:r>
    </w:p>
    <w:p>
      <w:pPr>
        <w:pStyle w:val="ListParagraph"/>
        <w:numPr>
          <w:ilvl w:val="0"/>
          <w:numId w:val="7"/>
        </w:numPr>
        <w:spacing w:after="40" w:before="40"/>
      </w:pPr>
      <w:r>
        <w:rPr>
          <w:rFonts w:ascii="Calibri" w:cs="Calibri" w:eastAsia="Calibri" w:hAnsi="Calibri"/>
          <w:color w:val="1E2761"/>
          <w:sz w:val="20"/>
          <w:szCs w:val="20"/>
        </w:rPr>
        <w:t xml:space="preserve">Administrator inspects the person's effective access and the reason for it.</w:t>
      </w:r>
    </w:p>
    <w:p>
      <w:pPr>
        <w:pStyle w:val="ListParagraph"/>
        <w:numPr>
          <w:ilvl w:val="0"/>
          <w:numId w:val="7"/>
        </w:numPr>
        <w:spacing w:after="40" w:before="40"/>
      </w:pPr>
      <w:r>
        <w:rPr>
          <w:rFonts w:ascii="Calibri" w:cs="Calibri" w:eastAsia="Calibri" w:hAnsi="Calibri"/>
          <w:color w:val="1E2761"/>
          <w:sz w:val="20"/>
          <w:szCs w:val="20"/>
        </w:rPr>
        <w:t xml:space="preserve">On removal, system states the access consequence and applies it immediately.</w:t>
      </w:r>
    </w:p>
    <w:p>
      <w:pPr>
        <w:pStyle w:val="Heading2"/>
        <w:spacing w:after="140" w:before="320"/>
      </w:pPr>
      <w:r>
        <w:rPr>
          <w:rFonts w:ascii="Calibri Light" w:cs="Calibri Light" w:eastAsia="Calibri Light" w:hAnsi="Calibri Light"/>
          <w:b/>
          <w:bCs/>
          <w:color w:val="1E2761"/>
          <w:sz w:val="28"/>
          <w:szCs w:val="28"/>
        </w:rPr>
        <w:t xml:space="preserve">7. Data requirements</w:t>
      </w:r>
    </w:p>
    <w:p>
      <w:pPr>
        <w:spacing w:after="140" w:before="60" w:line="276"/>
      </w:pPr>
      <w:r>
        <w:rPr>
          <w:rFonts w:ascii="Calibri" w:cs="Calibri" w:eastAsia="Calibri" w:hAnsi="Calibri"/>
          <w:color w:val="1E2761"/>
          <w:sz w:val="20"/>
          <w:szCs w:val="20"/>
        </w:rPr>
        <w:t xml:space="preserve">Functional view only; structure is specified in document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4"/>
        <w:gridCol w:w="3648"/>
        <w:gridCol w:w="3418"/>
      </w:tblGrid>
      <w:tr>
        <w:trPr>
          <w:cantSplit/>
          <w:tblHeader/>
        </w:trPr>
        <w:tc>
          <w:tcPr>
            <w:tcW w:type="dxa" w:w="229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Entity</w:t>
            </w:r>
          </w:p>
        </w:tc>
        <w:tc>
          <w:tcPr>
            <w:tcW w:type="dxa" w:w="364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Retained information</w:t>
            </w:r>
          </w:p>
        </w:tc>
        <w:tc>
          <w:tcPr>
            <w:tcW w:type="dxa" w:w="341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Retention</w:t>
            </w:r>
          </w:p>
        </w:tc>
      </w:tr>
      <w:tr>
        <w:trPr>
          <w:cantSplit/>
        </w:trPr>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Workspace</w:t>
            </w:r>
          </w:p>
        </w:tc>
        <w:tc>
          <w:tcPr>
            <w:tcW w:type="dxa" w:w="36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Identity, plan, configuration</w:t>
            </w:r>
          </w:p>
        </w:tc>
        <w:tc>
          <w:tcPr>
            <w:tcW w:type="dxa" w:w="341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Life of the account</w:t>
            </w:r>
          </w:p>
        </w:tc>
      </w:tr>
      <w:tr>
        <w:trPr>
          <w:cantSplit/>
        </w:trPr>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User</w:t>
            </w:r>
          </w:p>
        </w:tc>
        <w:tc>
          <w:tcPr>
            <w:tcW w:type="dxa" w:w="36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Identity, contact, language</w:t>
            </w:r>
          </w:p>
        </w:tc>
        <w:tc>
          <w:tcPr>
            <w:tcW w:type="dxa" w:w="341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Life of the account</w:t>
            </w:r>
          </w:p>
        </w:tc>
      </w:tr>
      <w:tr>
        <w:trPr>
          <w:cantSplit/>
        </w:trPr>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Membership</w:t>
            </w:r>
          </w:p>
        </w:tc>
        <w:tc>
          <w:tcPr>
            <w:tcW w:type="dxa" w:w="36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Person, workspace or space, role</w:t>
            </w:r>
          </w:p>
        </w:tc>
        <w:tc>
          <w:tcPr>
            <w:tcW w:type="dxa" w:w="341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Life of the membership; changes logged</w:t>
            </w:r>
          </w:p>
        </w:tc>
      </w:tr>
      <w:tr>
        <w:trPr>
          <w:cantSplit/>
        </w:trPr>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w:t>
            </w:r>
          </w:p>
        </w:tc>
        <w:tc>
          <w:tcPr>
            <w:tcW w:type="dxa" w:w="36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Title, type, state, owner, content, language, review date</w:t>
            </w:r>
          </w:p>
        </w:tc>
        <w:tc>
          <w:tcPr>
            <w:tcW w:type="dxa" w:w="341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Life of the account; soft-deleted documents retained per policy</w:t>
            </w:r>
          </w:p>
        </w:tc>
      </w:tr>
      <w:tr>
        <w:trPr>
          <w:cantSplit/>
        </w:trPr>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Version</w:t>
            </w:r>
          </w:p>
        </w:tc>
        <w:tc>
          <w:tcPr>
            <w:tcW w:type="dxa" w:w="36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Content at approval, author, approver, timestamp, change summary</w:t>
            </w:r>
          </w:p>
        </w:tc>
        <w:tc>
          <w:tcPr>
            <w:tcW w:type="dxa" w:w="341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Immutable, retained per policy</w:t>
            </w:r>
          </w:p>
        </w:tc>
      </w:tr>
      <w:tr>
        <w:trPr>
          <w:cantSplit/>
        </w:trPr>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Step</w:t>
            </w:r>
          </w:p>
        </w:tc>
        <w:tc>
          <w:tcPr>
            <w:tcW w:type="dxa" w:w="36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Instruction, note, expected result, flags, screenshot, source position, verification</w:t>
            </w:r>
          </w:p>
        </w:tc>
        <w:tc>
          <w:tcPr>
            <w:tcW w:type="dxa" w:w="341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With its document</w:t>
            </w:r>
          </w:p>
        </w:tc>
      </w:tr>
      <w:tr>
        <w:trPr>
          <w:cantSplit/>
        </w:trPr>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Recording</w:t>
            </w:r>
          </w:p>
        </w:tc>
        <w:tc>
          <w:tcPr>
            <w:tcW w:type="dxa" w:w="36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Source media, duration, state</w:t>
            </w:r>
          </w:p>
        </w:tc>
        <w:tc>
          <w:tcPr>
            <w:tcW w:type="dxa" w:w="341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Per customer retention setting</w:t>
            </w:r>
          </w:p>
        </w:tc>
      </w:tr>
      <w:tr>
        <w:trPr>
          <w:cantSplit/>
        </w:trPr>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Transcript &amp; segments</w:t>
            </w:r>
          </w:p>
        </w:tc>
        <w:tc>
          <w:tcPr>
            <w:tcW w:type="dxa" w:w="36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Text, timing, confidence, provider</w:t>
            </w:r>
          </w:p>
        </w:tc>
        <w:tc>
          <w:tcPr>
            <w:tcW w:type="dxa" w:w="341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With the recording</w:t>
            </w:r>
          </w:p>
        </w:tc>
      </w:tr>
      <w:tr>
        <w:trPr>
          <w:cantSplit/>
        </w:trPr>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Media</w:t>
            </w:r>
          </w:p>
        </w:tc>
        <w:tc>
          <w:tcPr>
            <w:tcW w:type="dxa" w:w="36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Screenshots, attachments</w:t>
            </w:r>
          </w:p>
        </w:tc>
        <w:tc>
          <w:tcPr>
            <w:tcW w:type="dxa" w:w="341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With the document or recording</w:t>
            </w:r>
          </w:p>
        </w:tc>
      </w:tr>
      <w:tr>
        <w:trPr>
          <w:cantSplit/>
        </w:trPr>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Acknowledgement</w:t>
            </w:r>
          </w:p>
        </w:tc>
        <w:tc>
          <w:tcPr>
            <w:tcW w:type="dxa" w:w="36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Person, document version, timestamp</w:t>
            </w:r>
          </w:p>
        </w:tc>
        <w:tc>
          <w:tcPr>
            <w:tcW w:type="dxa" w:w="341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Retained for audit</w:t>
            </w:r>
          </w:p>
        </w:tc>
      </w:tr>
      <w:tr>
        <w:trPr>
          <w:cantSplit/>
        </w:trPr>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Question &amp; answer</w:t>
            </w:r>
          </w:p>
        </w:tc>
        <w:tc>
          <w:tcPr>
            <w:tcW w:type="dxa" w:w="36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Question, answer, sources, refusal flag, rating</w:t>
            </w:r>
          </w:p>
        </w:tc>
        <w:tc>
          <w:tcPr>
            <w:tcW w:type="dxa" w:w="341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Rolling window, configurable</w:t>
            </w:r>
          </w:p>
        </w:tc>
      </w:tr>
      <w:tr>
        <w:trPr>
          <w:cantSplit/>
        </w:trPr>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Activity log</w:t>
            </w:r>
          </w:p>
        </w:tc>
        <w:tc>
          <w:tcPr>
            <w:tcW w:type="dxa" w:w="36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Actor, action, entity, time, metadata</w:t>
            </w:r>
          </w:p>
        </w:tc>
        <w:tc>
          <w:tcPr>
            <w:tcW w:type="dxa" w:w="341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Immutable, retained for audit</w:t>
            </w:r>
          </w:p>
        </w:tc>
      </w:tr>
      <w:tr>
        <w:trPr>
          <w:cantSplit/>
        </w:trPr>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Usage &amp; cost</w:t>
            </w:r>
          </w:p>
        </w:tc>
        <w:tc>
          <w:tcPr>
            <w:tcW w:type="dxa" w:w="36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Counts and cost per period per customer</w:t>
            </w:r>
          </w:p>
        </w:tc>
        <w:tc>
          <w:tcPr>
            <w:tcW w:type="dxa" w:w="341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Retained for billing and margin analysis</w:t>
            </w:r>
          </w:p>
        </w:tc>
      </w:tr>
    </w:tbl>
    <w:p>
      <w:pPr>
        <w:spacing w:after="160"/>
      </w:pPr>
    </w:p>
    <w:p>
      <w:pPr>
        <w:spacing w:after="140" w:before="60" w:line="276"/>
      </w:pPr>
      <w:r>
        <w:rPr>
          <w:rFonts w:ascii="Calibri" w:cs="Calibri" w:eastAsia="Calibri" w:hAnsi="Calibri"/>
          <w:b/>
          <w:bCs/>
          <w:color w:val="1E2761"/>
          <w:sz w:val="20"/>
          <w:szCs w:val="20"/>
        </w:rPr>
        <w:t xml:space="preserve">Deletion.</w:t>
      </w:r>
      <w:r>
        <w:rPr>
          <w:rFonts w:ascii="Calibri" w:cs="Calibri" w:eastAsia="Calibri" w:hAnsi="Calibri"/>
          <w:color w:val="1E2761"/>
          <w:sz w:val="20"/>
          <w:szCs w:val="20"/>
        </w:rPr>
        <w:t xml:space="preserve"> Deleting a recording shall remove the source media, screenshots, transcript, segments and any derived retrieval entries (FR-313 dependency, BRL-09). Deleting a document shall retain its version history for the configured retention period.</w:t>
      </w:r>
    </w:p>
    <w:p>
      <w:pPr>
        <w:pStyle w:val="Heading2"/>
        <w:spacing w:after="140" w:before="320"/>
      </w:pPr>
      <w:r>
        <w:rPr>
          <w:rFonts w:ascii="Calibri Light" w:cs="Calibri Light" w:eastAsia="Calibri Light" w:hAnsi="Calibri Light"/>
          <w:b/>
          <w:bCs/>
          <w:color w:val="1E2761"/>
          <w:sz w:val="28"/>
          <w:szCs w:val="28"/>
        </w:rPr>
        <w:t xml:space="preserve">8. External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4"/>
        <w:gridCol w:w="2294"/>
        <w:gridCol w:w="1712"/>
        <w:gridCol w:w="4370"/>
      </w:tblGrid>
      <w:tr>
        <w:trPr>
          <w:cantSplit/>
          <w:tblHeader/>
        </w:trPr>
        <w:tc>
          <w:tcPr>
            <w:tcW w:type="dxa" w:w="98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w:t>
            </w:r>
          </w:p>
        </w:tc>
        <w:tc>
          <w:tcPr>
            <w:tcW w:type="dxa" w:w="229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Interface</w:t>
            </w:r>
          </w:p>
        </w:tc>
        <w:tc>
          <w:tcPr>
            <w:tcW w:type="dxa" w:w="171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Purpose</w:t>
            </w:r>
          </w:p>
        </w:tc>
        <w:tc>
          <w:tcPr>
            <w:tcW w:type="dxa" w:w="437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r>
      <w:tr>
        <w:trPr>
          <w:cantSplit/>
        </w:trPr>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EI-1</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Speech-to-text provider</w:t>
            </w:r>
          </w:p>
        </w:tc>
        <w:tc>
          <w:tcPr>
            <w:tcW w:type="dxa" w:w="171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FR-305</w:t>
            </w:r>
          </w:p>
        </w:tc>
        <w:tc>
          <w:tcPr>
            <w:tcW w:type="dxa" w:w="43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Must return word-level timing. Must be replaceable without altering processing logic. Must contractually exclude customer content from model training</w:t>
            </w:r>
          </w:p>
        </w:tc>
      </w:tr>
      <w:tr>
        <w:trPr>
          <w:cantSplit/>
        </w:trPr>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EI-2</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Language model provider</w:t>
            </w:r>
          </w:p>
        </w:tc>
        <w:tc>
          <w:tcPr>
            <w:tcW w:type="dxa" w:w="171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FR-306, FR-308, FR-605, FR-801, FR-803</w:t>
            </w:r>
          </w:p>
        </w:tc>
        <w:tc>
          <w:tcPr>
            <w:tcW w:type="dxa" w:w="43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Must be replaceable. Must exclude customer content from training and retention</w:t>
            </w:r>
          </w:p>
        </w:tc>
      </w:tr>
      <w:tr>
        <w:trPr>
          <w:cantSplit/>
        </w:trPr>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EI-3</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Embeddings provider</w:t>
            </w:r>
          </w:p>
        </w:tc>
        <w:tc>
          <w:tcPr>
            <w:tcW w:type="dxa" w:w="171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FR-601, FR-615</w:t>
            </w:r>
          </w:p>
        </w:tc>
        <w:tc>
          <w:tcPr>
            <w:tcW w:type="dxa" w:w="43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Must be replaceable. The model used must be recorded per indexed item so a provider change can be migrated selectively</w:t>
            </w:r>
          </w:p>
        </w:tc>
      </w:tr>
      <w:tr>
        <w:trPr>
          <w:cantSplit/>
        </w:trPr>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EI-4</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Retrieval index</w:t>
            </w:r>
          </w:p>
        </w:tc>
        <w:tc>
          <w:tcPr>
            <w:tcW w:type="dxa" w:w="171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FR-601, FR-606, FR-615</w:t>
            </w:r>
          </w:p>
        </w:tc>
        <w:tc>
          <w:tcPr>
            <w:tcW w:type="dxa" w:w="43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Must support restriction by customer, space and state within the query itself (FR-506)</w:t>
            </w:r>
          </w:p>
        </w:tc>
      </w:tr>
      <w:tr>
        <w:trPr>
          <w:cantSplit/>
        </w:trPr>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EI-5</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Object storage</w:t>
            </w:r>
          </w:p>
        </w:tc>
        <w:tc>
          <w:tcPr>
            <w:tcW w:type="dxa" w:w="171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FR-301, FR-307</w:t>
            </w:r>
          </w:p>
        </w:tc>
        <w:tc>
          <w:tcPr>
            <w:tcW w:type="dxa" w:w="43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Content must be private by default and reachable only through time-limited authorised links</w:t>
            </w:r>
          </w:p>
        </w:tc>
      </w:tr>
      <w:tr>
        <w:trPr>
          <w:cantSplit/>
        </w:trPr>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EI-6</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Payment provider</w:t>
            </w:r>
          </w:p>
        </w:tc>
        <w:tc>
          <w:tcPr>
            <w:tcW w:type="dxa" w:w="171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FR-902, FR-903</w:t>
            </w:r>
          </w:p>
        </w:tc>
        <w:tc>
          <w:tcPr>
            <w:tcW w:type="dxa" w:w="43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Must support tier changes, seat changes and payment-failure notification</w:t>
            </w:r>
          </w:p>
        </w:tc>
      </w:tr>
      <w:tr>
        <w:trPr>
          <w:cantSplit/>
        </w:trPr>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EI-7</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Email delivery</w:t>
            </w:r>
          </w:p>
        </w:tc>
        <w:tc>
          <w:tcPr>
            <w:tcW w:type="dxa" w:w="171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FR-101, FR-405, FR-706</w:t>
            </w:r>
          </w:p>
        </w:tc>
        <w:tc>
          <w:tcPr>
            <w:tcW w:type="dxa" w:w="43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Must support the volume implied by acknowledgement reminders across a large customer</w:t>
            </w:r>
          </w:p>
        </w:tc>
      </w:tr>
    </w:tbl>
    <w:p>
      <w:pPr>
        <w:spacing w:after="160"/>
      </w:pPr>
    </w:p>
    <w:p>
      <w:pPr>
        <w:spacing w:after="140" w:before="60" w:line="276"/>
      </w:pPr>
      <w:r>
        <w:rPr>
          <w:rFonts w:ascii="Calibri" w:cs="Calibri" w:eastAsia="Calibri" w:hAnsi="Calibri"/>
          <w:color w:val="1E2761"/>
          <w:sz w:val="20"/>
          <w:szCs w:val="20"/>
        </w:rPr>
        <w:t xml:space="preserve">EI-1, EI-3 and EI-4 are not yet selected. EI-1 blocks FR-305 and therefore the whole of UC-01. EI-7's current provider is insufficient for FR-706 at scale.</w:t>
      </w:r>
    </w:p>
    <w:p>
      <w:pPr>
        <w:pStyle w:val="Heading2"/>
        <w:spacing w:after="140" w:before="320"/>
      </w:pPr>
      <w:r>
        <w:rPr>
          <w:rFonts w:ascii="Calibri Light" w:cs="Calibri Light" w:eastAsia="Calibri Light" w:hAnsi="Calibri Light"/>
          <w:b/>
          <w:bCs/>
          <w:color w:val="1E2761"/>
          <w:sz w:val="28"/>
          <w:szCs w:val="28"/>
        </w:rPr>
        <w:t xml:space="preserve">9. Validation and messaging</w:t>
      </w:r>
    </w:p>
    <w:p>
      <w:pPr>
        <w:spacing w:after="140" w:before="60" w:line="276"/>
      </w:pPr>
      <w:r>
        <w:rPr>
          <w:rFonts w:ascii="Calibri" w:cs="Calibri" w:eastAsia="Calibri" w:hAnsi="Calibri"/>
          <w:color w:val="1E2761"/>
          <w:sz w:val="20"/>
          <w:szCs w:val="20"/>
        </w:rPr>
        <w:t xml:space="preserve">Error messages are specified content, not developer placeholders. Each states what happened and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8"/>
        <w:gridCol w:w="1901"/>
        <w:gridCol w:w="4111"/>
      </w:tblGrid>
      <w:tr>
        <w:trPr>
          <w:cantSplit/>
          <w:tblHeader/>
        </w:trPr>
        <w:tc>
          <w:tcPr>
            <w:tcW w:type="dxa" w:w="334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Condition</w:t>
            </w:r>
          </w:p>
        </w:tc>
        <w:tc>
          <w:tcPr>
            <w:tcW w:type="dxa" w:w="190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w:t>
            </w:r>
          </w:p>
        </w:tc>
        <w:tc>
          <w:tcPr>
            <w:tcW w:type="dxa" w:w="411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Message intent</w:t>
            </w:r>
          </w:p>
        </w:tc>
      </w:tr>
      <w:tr>
        <w:trPr>
          <w:cantSplit/>
        </w:trPr>
        <w:tc>
          <w:tcPr>
            <w:tcW w:type="dxa" w:w="33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Procedure submitted without steps</w:t>
            </w:r>
          </w:p>
        </w:tc>
        <w:tc>
          <w:tcPr>
            <w:tcW w:type="dxa" w:w="19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FR-412</w:t>
            </w:r>
          </w:p>
        </w:tc>
        <w:tc>
          <w:tcPr>
            <w:tcW w:type="dxa" w:w="411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Name the missing element and the action</w:t>
            </w:r>
          </w:p>
        </w:tc>
      </w:tr>
      <w:tr>
        <w:trPr>
          <w:cantSplit/>
        </w:trPr>
        <w:tc>
          <w:tcPr>
            <w:tcW w:type="dxa" w:w="33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Procedure submitted without owner or purpose</w:t>
            </w:r>
          </w:p>
        </w:tc>
        <w:tc>
          <w:tcPr>
            <w:tcW w:type="dxa" w:w="190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FR-402</w:t>
            </w:r>
          </w:p>
        </w:tc>
        <w:tc>
          <w:tcPr>
            <w:tcW w:type="dxa" w:w="411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Name which field is required</w:t>
            </w:r>
          </w:p>
        </w:tc>
      </w:tr>
      <w:tr>
        <w:trPr>
          <w:cantSplit/>
        </w:trPr>
        <w:tc>
          <w:tcPr>
            <w:tcW w:type="dxa" w:w="33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Recording without usable audio</w:t>
            </w:r>
          </w:p>
        </w:tc>
        <w:tc>
          <w:tcPr>
            <w:tcW w:type="dxa" w:w="19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FR-314</w:t>
            </w:r>
          </w:p>
        </w:tc>
        <w:tc>
          <w:tcPr>
            <w:tcW w:type="dxa" w:w="411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the cause; offer retry or replacement</w:t>
            </w:r>
          </w:p>
        </w:tc>
      </w:tr>
      <w:tr>
        <w:trPr>
          <w:cantSplit/>
        </w:trPr>
        <w:tc>
          <w:tcPr>
            <w:tcW w:type="dxa" w:w="33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Concurrent modification</w:t>
            </w:r>
          </w:p>
        </w:tc>
        <w:tc>
          <w:tcPr>
            <w:tcW w:type="dxa" w:w="190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FR-210</w:t>
            </w:r>
          </w:p>
        </w:tc>
        <w:tc>
          <w:tcPr>
            <w:tcW w:type="dxa" w:w="411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that content changed; offer reload before proceeding</w:t>
            </w:r>
          </w:p>
        </w:tc>
      </w:tr>
      <w:tr>
        <w:trPr>
          <w:cantSplit/>
        </w:trPr>
        <w:tc>
          <w:tcPr>
            <w:tcW w:type="dxa" w:w="33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Approval of own submission</w:t>
            </w:r>
          </w:p>
        </w:tc>
        <w:tc>
          <w:tcPr>
            <w:tcW w:type="dxa" w:w="19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FR-404</w:t>
            </w:r>
          </w:p>
        </w:tc>
        <w:tc>
          <w:tcPr>
            <w:tcW w:type="dxa" w:w="411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the rule and who can approve instead</w:t>
            </w:r>
          </w:p>
        </w:tc>
      </w:tr>
      <w:tr>
        <w:trPr>
          <w:cantSplit/>
        </w:trPr>
        <w:tc>
          <w:tcPr>
            <w:tcW w:type="dxa" w:w="33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Approval of a superseded draft</w:t>
            </w:r>
          </w:p>
        </w:tc>
        <w:tc>
          <w:tcPr>
            <w:tcW w:type="dxa" w:w="190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FR-407</w:t>
            </w:r>
          </w:p>
        </w:tc>
        <w:tc>
          <w:tcPr>
            <w:tcW w:type="dxa" w:w="411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that the document changed; require review of current state</w:t>
            </w:r>
          </w:p>
        </w:tc>
      </w:tr>
      <w:tr>
        <w:trPr>
          <w:cantSplit/>
        </w:trPr>
        <w:tc>
          <w:tcPr>
            <w:tcW w:type="dxa" w:w="33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Access denied</w:t>
            </w:r>
          </w:p>
        </w:tc>
        <w:tc>
          <w:tcPr>
            <w:tcW w:type="dxa" w:w="19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FR-512</w:t>
            </w:r>
          </w:p>
        </w:tc>
        <w:tc>
          <w:tcPr>
            <w:tcW w:type="dxa" w:w="411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Disclose nothing about existence</w:t>
            </w:r>
          </w:p>
        </w:tc>
      </w:tr>
      <w:tr>
        <w:trPr>
          <w:cantSplit/>
        </w:trPr>
        <w:tc>
          <w:tcPr>
            <w:tcW w:type="dxa" w:w="33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Plan limit reached</w:t>
            </w:r>
          </w:p>
        </w:tc>
        <w:tc>
          <w:tcPr>
            <w:tcW w:type="dxa" w:w="190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FR-905</w:t>
            </w:r>
          </w:p>
        </w:tc>
        <w:tc>
          <w:tcPr>
            <w:tcW w:type="dxa" w:w="411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the limit, the current count, and the upgrade route</w:t>
            </w:r>
          </w:p>
        </w:tc>
      </w:tr>
      <w:tr>
        <w:trPr>
          <w:cantSplit/>
        </w:trPr>
        <w:tc>
          <w:tcPr>
            <w:tcW w:type="dxa" w:w="33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Seat limit reached on invitation</w:t>
            </w:r>
          </w:p>
        </w:tc>
        <w:tc>
          <w:tcPr>
            <w:tcW w:type="dxa" w:w="19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FR-106</w:t>
            </w:r>
          </w:p>
        </w:tc>
        <w:tc>
          <w:tcPr>
            <w:tcW w:type="dxa" w:w="411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the limit before the invitation is sent</w:t>
            </w:r>
          </w:p>
        </w:tc>
      </w:tr>
      <w:tr>
        <w:trPr>
          <w:cantSplit/>
        </w:trPr>
        <w:tc>
          <w:tcPr>
            <w:tcW w:type="dxa" w:w="334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No approved content for a question</w:t>
            </w:r>
          </w:p>
        </w:tc>
        <w:tc>
          <w:tcPr>
            <w:tcW w:type="dxa" w:w="190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FR-608</w:t>
            </w:r>
          </w:p>
        </w:tc>
        <w:tc>
          <w:tcPr>
            <w:tcW w:type="dxa" w:w="411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plainly; offer capture or request</w:t>
            </w:r>
          </w:p>
        </w:tc>
      </w:tr>
      <w:tr>
        <w:trPr>
          <w:cantSplit/>
        </w:trPr>
        <w:tc>
          <w:tcPr>
            <w:tcW w:type="dxa" w:w="334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Last administrator removal</w:t>
            </w:r>
          </w:p>
        </w:tc>
        <w:tc>
          <w:tcPr>
            <w:tcW w:type="dxa" w:w="19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FR-510</w:t>
            </w:r>
          </w:p>
        </w:tc>
        <w:tc>
          <w:tcPr>
            <w:tcW w:type="dxa" w:w="411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why the action is not permitted</w:t>
            </w:r>
          </w:p>
        </w:tc>
      </w:tr>
    </w:tbl>
    <w:p>
      <w:pPr>
        <w:spacing w:after="160"/>
      </w:pPr>
    </w:p>
    <w:p>
      <w:pPr>
        <w:pStyle w:val="Heading2"/>
        <w:spacing w:after="140" w:before="320"/>
      </w:pPr>
      <w:r>
        <w:rPr>
          <w:rFonts w:ascii="Calibri Light" w:cs="Calibri Light" w:eastAsia="Calibri Light" w:hAnsi="Calibri Light"/>
          <w:b/>
          <w:bCs/>
          <w:color w:val="1E2761"/>
          <w:sz w:val="28"/>
          <w:szCs w:val="28"/>
        </w:rPr>
        <w:t xml:space="preserve">10. Traceability matrix</w:t>
      </w:r>
    </w:p>
    <w:p>
      <w:pPr>
        <w:spacing w:after="140" w:before="60" w:line="276"/>
      </w:pPr>
      <w:r>
        <w:rPr>
          <w:rFonts w:ascii="Calibri" w:cs="Calibri" w:eastAsia="Calibri" w:hAnsi="Calibri"/>
          <w:color w:val="1E2761"/>
          <w:sz w:val="20"/>
          <w:szCs w:val="20"/>
        </w:rPr>
        <w:t xml:space="preserve">Derived from the </w:t>
      </w:r>
      <w:r>
        <w:rPr>
          <w:rFonts w:ascii="Consolas" w:cs="Consolas" w:eastAsia="Consolas" w:hAnsi="Consolas"/>
          <w:color w:val="0B3D2E"/>
          <w:sz w:val="18"/>
          <w:szCs w:val="18"/>
          <w:shd w:fill="F4F5F7" w:val="clear"/>
        </w:rPr>
        <w:t xml:space="preserve">Trace</w:t>
      </w:r>
      <w:r>
        <w:rPr>
          <w:rFonts w:ascii="Calibri" w:cs="Calibri" w:eastAsia="Calibri" w:hAnsi="Calibri"/>
          <w:color w:val="1E2761"/>
          <w:sz w:val="20"/>
          <w:szCs w:val="20"/>
        </w:rPr>
        <w:t xml:space="preserve"> column of every requirement in section 5, so it is complete in both directions: every business requirement lists every functional requirement that serves it, and every functional requirement appears against at least one business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5"/>
        <w:gridCol w:w="2294"/>
        <w:gridCol w:w="2350"/>
        <w:gridCol w:w="984"/>
        <w:gridCol w:w="2617"/>
      </w:tblGrid>
      <w:tr>
        <w:trPr>
          <w:cantSplit/>
          <w:tblHeader/>
        </w:trPr>
        <w:tc>
          <w:tcPr>
            <w:tcW w:type="dxa" w:w="111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BR</w:t>
            </w:r>
          </w:p>
        </w:tc>
        <w:tc>
          <w:tcPr>
            <w:tcW w:type="dxa" w:w="229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Requirement summary</w:t>
            </w:r>
          </w:p>
        </w:tc>
        <w:tc>
          <w:tcPr>
            <w:tcW w:type="dxa" w:w="235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Functional requirements</w:t>
            </w:r>
          </w:p>
        </w:tc>
        <w:tc>
          <w:tcPr>
            <w:tcW w:type="dxa" w:w="98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Epic</w:t>
            </w:r>
          </w:p>
        </w:tc>
        <w:tc>
          <w:tcPr>
            <w:tcW w:type="dxa" w:w="261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Test focus</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BR-01</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Produce procedures without writing them</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FR-109, FR-205, FR-207, FR-208, FR-209, FR-211, FR-305, FR-306, FR-307, FR-308, FR-412</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 D</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Generation eval set</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BR-02</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Capture with existing tools</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FR-101, FR-301, FR-303, FR-304, FR-311, FR-312, FR-313</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Cross-browser capture</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BR-03</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Verifiable against source</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FR-206, FR-305, FR-309, FR-317</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Step-to-timestamp accuracy</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BR-04</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Existing recordings usable</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FR-203, FR-302</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Format and limit handling</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BR-05</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Improve rough notes</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FR-801, FR-802, FR-805</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No-auto-apply regression</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BR-06</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One accountable owner</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FR-402</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Submission validation</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BR-07</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Authoritative only when approved</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FR-403, FR-416</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State machine</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BR-08</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Published version undisturbed</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FR-210, FR-407, FR-408</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Draft-vs-live behaviour</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BR-09</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Show who approved what</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FR-405, FR-406, FR-409, FR-410</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Version and diff correctness</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BR-10</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Earlier version recoverable</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FR-204, FR-411</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Restore creates draft</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BR-11</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Recurring review</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FR-413, FR-909</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Review-due surfacing</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BR-12</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Tamper-evident log</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FR-414, FR-912</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Immutability of log</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BR-13</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Answers without knowing the source</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FR-605, FR-611, FR-616</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H</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Retrieval eval set</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BR-14</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Every answer cited</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FR-606, FR-610</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H</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Citation presence, 100%</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BR-15</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Decline rather than guess</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FR-608</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H</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Refusal eval, 15 unanswerable</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BR-16</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Find by meaning</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FR-601, FR-602, FR-603</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G</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Paraphrase retrieval</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BR-17</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See unanswerable questions</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FR-609, FR-612, FR-613</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H, L</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Gap aggregation</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BR-18</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No cross-customer access</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FR-104, FR-108, FR-501, FR-506, FR-510, FR-512</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 F</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Cross-tenant suite, schema conformance</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BR-19</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Access by team, restrictable below</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FR-105, FR-201, FR-202, FR-503, FR-504</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Permission resolution matrix</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BR-20</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Immediate revocation</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FR-506, FR-507, FR-509, FR-615</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No-cache-window test</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BR-21</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Determine what a person can see</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FR-508</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Inspector correctness</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BR-22</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Denied by default</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FR-105, FR-502, FR-505</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 F</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Default-deny verification</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BR-23</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Ordered policy distribution</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FR-701</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J</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Handbook ordering</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BR-24</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Prove a version was read</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FR-702, FR-703, FR-705, FR-706, FR-911</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J</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Version-bound acknowledgement</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BR-25</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Republishing re-obtains</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FR-704</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J</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Supersession on new version</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BR-26</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Exportable for audit</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FR-707</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J</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Export row integrity</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BR-27</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Available in team languages</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FR-803, FR-804</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Translation linkage and staleness</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BR-28</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Value before payment</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FR-901</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K</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Free-tier capability</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BR-29</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Not priced per reader</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FR-902</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K</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Tier configuration</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BR-30</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Usage against entitlement</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FR-106, FR-903, FR-904</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K</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Counter accuracy</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BR-31</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Limits communicated clearly</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FR-905, FR-906</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K</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Per-tier limit messaging</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BR-32</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Monitor cost per procedure</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FR-907</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Cost attribution</w:t>
            </w:r>
          </w:p>
        </w:tc>
      </w:tr>
      <w:tr>
        <w:trPr>
          <w:cantSplit/>
        </w:trPr>
        <w:tc>
          <w:tcPr>
            <w:tcW w:type="dxa" w:w="111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BR-33</w:t>
            </w:r>
          </w:p>
        </w:tc>
        <w:tc>
          <w:tcPr>
            <w:tcW w:type="dxa" w:w="22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Coverage and activity visible</w:t>
            </w:r>
          </w:p>
        </w:tc>
        <w:tc>
          <w:tcPr>
            <w:tcW w:type="dxa" w:w="235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FR-908, FR-909</w:t>
            </w:r>
          </w:p>
        </w:tc>
        <w:tc>
          <w:tcPr>
            <w:tcW w:type="dxa" w:w="9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L</w:t>
            </w:r>
          </w:p>
        </w:tc>
        <w:tc>
          <w:tcPr>
            <w:tcW w:type="dxa" w:w="261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Aggregation correctness</w:t>
            </w:r>
          </w:p>
        </w:tc>
      </w:tr>
      <w:tr>
        <w:trPr>
          <w:cantSplit/>
        </w:trPr>
        <w:tc>
          <w:tcPr>
            <w:tcW w:type="dxa" w:w="111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BR-34</w:t>
            </w:r>
          </w:p>
        </w:tc>
        <w:tc>
          <w:tcPr>
            <w:tcW w:type="dxa" w:w="22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Identify undocumented processes</w:t>
            </w:r>
          </w:p>
        </w:tc>
        <w:tc>
          <w:tcPr>
            <w:tcW w:type="dxa" w:w="235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FR-613, FR-614</w:t>
            </w:r>
          </w:p>
        </w:tc>
        <w:tc>
          <w:tcPr>
            <w:tcW w:type="dxa" w:w="9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H, L</w:t>
            </w:r>
          </w:p>
        </w:tc>
        <w:tc>
          <w:tcPr>
            <w:tcW w:type="dxa" w:w="261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Gap list derivation</w:t>
            </w:r>
          </w:p>
        </w:tc>
      </w:tr>
    </w:tbl>
    <w:p>
      <w:pPr>
        <w:spacing w:after="160"/>
      </w:pPr>
    </w:p>
    <w:p>
      <w:pPr>
        <w:pStyle w:val="Heading3"/>
        <w:spacing w:after="100" w:before="240"/>
      </w:pPr>
      <w:r>
        <w:rPr>
          <w:rFonts w:ascii="Calibri" w:cs="Calibri" w:eastAsia="Calibri" w:hAnsi="Calibri"/>
          <w:b/>
          <w:bCs/>
          <w:color w:val="1A1A1A"/>
          <w:sz w:val="23"/>
          <w:szCs w:val="23"/>
        </w:rPr>
        <w:t xml:space="preserve">Business rule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6"/>
        <w:gridCol w:w="6094"/>
        <w:gridCol w:w="2020"/>
      </w:tblGrid>
      <w:tr>
        <w:trPr>
          <w:cantSplit/>
          <w:tblHeader/>
        </w:trPr>
        <w:tc>
          <w:tcPr>
            <w:tcW w:type="dxa" w:w="1246"/>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BRL</w:t>
            </w:r>
          </w:p>
        </w:tc>
        <w:tc>
          <w:tcPr>
            <w:tcW w:type="dxa" w:w="609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Rule</w:t>
            </w:r>
          </w:p>
        </w:tc>
        <w:tc>
          <w:tcPr>
            <w:tcW w:type="dxa" w:w="202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Enforced by</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BRL-01</w:t>
            </w:r>
          </w:p>
        </w:tc>
        <w:tc>
          <w:tcPr>
            <w:tcW w:type="dxa" w:w="60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 procedure is authoritative only while in the approved state. Draft and archi…</w:t>
            </w:r>
          </w:p>
        </w:tc>
        <w:tc>
          <w:tcPr>
            <w:tcW w:type="dxa" w:w="202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FR-310, FR-401, FR-604, FR-615</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BRL-02</w:t>
            </w:r>
          </w:p>
        </w:tc>
        <w:tc>
          <w:tcPr>
            <w:tcW w:type="dxa" w:w="60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Every procedure has exactly one accountable owner at all times</w:t>
            </w:r>
          </w:p>
        </w:tc>
        <w:tc>
          <w:tcPr>
            <w:tcW w:type="dxa" w:w="202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FR-402</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BRL-03</w:t>
            </w:r>
          </w:p>
        </w:tc>
        <w:tc>
          <w:tcPr>
            <w:tcW w:type="dxa" w:w="60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 person may not approve their own submission unless the customer has explicit…</w:t>
            </w:r>
          </w:p>
        </w:tc>
        <w:tc>
          <w:tcPr>
            <w:tcW w:type="dxa" w:w="202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FR-404, FR-910</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BRL-04</w:t>
            </w:r>
          </w:p>
        </w:tc>
        <w:tc>
          <w:tcPr>
            <w:tcW w:type="dxa" w:w="60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Approved content is immutable. Any change produces a new version, subject to a…</w:t>
            </w:r>
          </w:p>
        </w:tc>
        <w:tc>
          <w:tcPr>
            <w:tcW w:type="dxa" w:w="202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FR-406, FR-407, FR-805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BRL-05</w:t>
            </w:r>
          </w:p>
        </w:tc>
        <w:tc>
          <w:tcPr>
            <w:tcW w:type="dxa" w:w="60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Every answer must either cite an approved source or decline. An answer with no…</w:t>
            </w:r>
          </w:p>
        </w:tc>
        <w:tc>
          <w:tcPr>
            <w:tcW w:type="dxa" w:w="202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FR-606, FR-607, FR-608</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BRL-06</w:t>
            </w:r>
          </w:p>
        </w:tc>
        <w:tc>
          <w:tcPr>
            <w:tcW w:type="dxa" w:w="60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 generated draft must be verified by a person before it can be submitted for …</w:t>
            </w:r>
          </w:p>
        </w:tc>
        <w:tc>
          <w:tcPr>
            <w:tcW w:type="dxa" w:w="202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FR-310, FR-314, FR-315, FR-316</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BRL-07</w:t>
            </w:r>
          </w:p>
        </w:tc>
        <w:tc>
          <w:tcPr>
            <w:tcW w:type="dxa" w:w="60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Acknowledgement is bound to a specific document version, not to the document</w:t>
            </w:r>
          </w:p>
        </w:tc>
        <w:tc>
          <w:tcPr>
            <w:tcW w:type="dxa" w:w="202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FR-703, FR-704</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BRL-08</w:t>
            </w:r>
          </w:p>
        </w:tc>
        <w:tc>
          <w:tcPr>
            <w:tcW w:type="dxa" w:w="60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Access is denied unless explicitly granted</w:t>
            </w:r>
          </w:p>
        </w:tc>
        <w:tc>
          <w:tcPr>
            <w:tcW w:type="dxa" w:w="202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FR-102, FR-103, FR-107, FR-502</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BRL-09</w:t>
            </w:r>
          </w:p>
        </w:tc>
        <w:tc>
          <w:tcPr>
            <w:tcW w:type="dxa" w:w="60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 recording is private to its uploader and customer administrators until a dra…</w:t>
            </w:r>
          </w:p>
        </w:tc>
        <w:tc>
          <w:tcPr>
            <w:tcW w:type="dxa" w:w="202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FR-511</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BRL-10</w:t>
            </w:r>
          </w:p>
        </w:tc>
        <w:tc>
          <w:tcPr>
            <w:tcW w:type="dxa" w:w="60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Archived content is excluded from search and from answers</w:t>
            </w:r>
          </w:p>
        </w:tc>
        <w:tc>
          <w:tcPr>
            <w:tcW w:type="dxa" w:w="202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FR-415</w:t>
            </w:r>
          </w:p>
        </w:tc>
      </w:tr>
      <w:tr>
        <w:trPr>
          <w:cantSplit/>
        </w:trPr>
        <w:tc>
          <w:tcPr>
            <w:tcW w:type="dxa" w:w="1246"/>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BRL-11</w:t>
            </w:r>
          </w:p>
        </w:tc>
        <w:tc>
          <w:tcPr>
            <w:tcW w:type="dxa" w:w="609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Approval, permission and deletion events are recorded immutably</w:t>
            </w:r>
          </w:p>
        </w:tc>
        <w:tc>
          <w:tcPr>
            <w:tcW w:type="dxa" w:w="202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FR-414</w:t>
            </w:r>
          </w:p>
        </w:tc>
      </w:tr>
      <w:tr>
        <w:trPr>
          <w:cantSplit/>
        </w:trPr>
        <w:tc>
          <w:tcPr>
            <w:tcW w:type="dxa" w:w="1246"/>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BRL-12</w:t>
            </w:r>
          </w:p>
        </w:tc>
        <w:tc>
          <w:tcPr>
            <w:tcW w:type="dxa" w:w="609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Customer content is never used to train any third-party model</w:t>
            </w:r>
          </w:p>
        </w:tc>
        <w:tc>
          <w:tcPr>
            <w:tcW w:type="dxa" w:w="202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not enforced — gap</w:t>
            </w:r>
          </w:p>
        </w:tc>
      </w:tr>
    </w:tbl>
    <w:p>
      <w:pPr>
        <w:spacing w:after="160"/>
      </w:pPr>
    </w:p>
    <w:p>
      <w:pPr>
        <w:spacing w:after="140" w:before="60" w:line="276"/>
      </w:pPr>
      <w:r>
        <w:rPr>
          <w:rFonts w:ascii="Calibri" w:cs="Calibri" w:eastAsia="Calibri" w:hAnsi="Calibri"/>
          <w:color w:val="1E2761"/>
          <w:sz w:val="20"/>
          <w:szCs w:val="20"/>
        </w:rPr>
        <w:t xml:space="preserve">BRL-12 is a contractual obligation on external providers (see section 8) rather than a system behaviour, so it has no implementing requirement.</w:t>
      </w:r>
    </w:p>
    <w:p>
      <w:pPr>
        <w:pStyle w:val="Heading2"/>
        <w:spacing w:after="140" w:before="320"/>
      </w:pPr>
      <w:r>
        <w:rPr>
          <w:rFonts w:ascii="Calibri Light" w:cs="Calibri Light" w:eastAsia="Calibri Light" w:hAnsi="Calibri Light"/>
          <w:b/>
          <w:bCs/>
          <w:color w:val="1E2761"/>
          <w:sz w:val="28"/>
          <w:szCs w:val="28"/>
        </w:rPr>
        <w:t xml:space="preserve">11. Requirements deliberately not specified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57"/>
        <w:gridCol w:w="3603"/>
      </w:tblGrid>
      <w:tr>
        <w:trPr>
          <w:cantSplit/>
          <w:tblHeader/>
        </w:trPr>
        <w:tc>
          <w:tcPr>
            <w:tcW w:type="dxa" w:w="575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Area</w:t>
            </w:r>
          </w:p>
        </w:tc>
        <w:tc>
          <w:tcPr>
            <w:tcW w:type="dxa" w:w="360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Where specified</w:t>
            </w:r>
          </w:p>
        </w:tc>
      </w:tr>
      <w:tr>
        <w:trPr>
          <w:cantSplit/>
        </w:trPr>
        <w:tc>
          <w:tcPr>
            <w:tcW w:type="dxa" w:w="575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Performance and availability targets</w:t>
            </w:r>
          </w:p>
        </w:tc>
        <w:tc>
          <w:tcPr>
            <w:tcW w:type="dxa" w:w="360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 01, section 8</w:t>
            </w:r>
          </w:p>
        </w:tc>
      </w:tr>
      <w:tr>
        <w:trPr>
          <w:cantSplit/>
        </w:trPr>
        <w:tc>
          <w:tcPr>
            <w:tcW w:type="dxa" w:w="575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Interface layout and visual design</w:t>
            </w:r>
          </w:p>
        </w:tc>
        <w:tc>
          <w:tcPr>
            <w:tcW w:type="dxa" w:w="360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Documents 10 and 11</w:t>
            </w:r>
          </w:p>
        </w:tc>
      </w:tr>
      <w:tr>
        <w:trPr>
          <w:cantSplit/>
        </w:trPr>
        <w:tc>
          <w:tcPr>
            <w:tcW w:type="dxa" w:w="575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Data structure and indexing</w:t>
            </w:r>
          </w:p>
        </w:tc>
        <w:tc>
          <w:tcPr>
            <w:tcW w:type="dxa" w:w="360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 04</w:t>
            </w:r>
          </w:p>
        </w:tc>
      </w:tr>
      <w:tr>
        <w:trPr>
          <w:cantSplit/>
        </w:trPr>
        <w:tc>
          <w:tcPr>
            <w:tcW w:type="dxa" w:w="575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API contracts</w:t>
            </w:r>
          </w:p>
        </w:tc>
        <w:tc>
          <w:tcPr>
            <w:tcW w:type="dxa" w:w="360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 05</w:t>
            </w:r>
          </w:p>
        </w:tc>
      </w:tr>
      <w:tr>
        <w:trPr>
          <w:cantSplit/>
        </w:trPr>
        <w:tc>
          <w:tcPr>
            <w:tcW w:type="dxa" w:w="575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Technical isolation mechanism</w:t>
            </w:r>
          </w:p>
        </w:tc>
        <w:tc>
          <w:tcPr>
            <w:tcW w:type="dxa" w:w="360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 03, section 4</w:t>
            </w:r>
          </w:p>
        </w:tc>
      </w:tr>
      <w:tr>
        <w:trPr>
          <w:cantSplit/>
        </w:trPr>
        <w:tc>
          <w:tcPr>
            <w:tcW w:type="dxa" w:w="575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Test procedures and evaluation sets</w:t>
            </w:r>
          </w:p>
        </w:tc>
        <w:tc>
          <w:tcPr>
            <w:tcW w:type="dxa" w:w="360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 08</w:t>
            </w:r>
          </w:p>
        </w:tc>
      </w:tr>
      <w:tr>
        <w:trPr>
          <w:cantSplit/>
        </w:trPr>
        <w:tc>
          <w:tcPr>
            <w:tcW w:type="dxa" w:w="575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Delivery sequence</w:t>
            </w:r>
          </w:p>
        </w:tc>
        <w:tc>
          <w:tcPr>
            <w:tcW w:type="dxa" w:w="360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Document 07</w:t>
            </w:r>
          </w:p>
        </w:tc>
      </w:tr>
    </w:tbl>
    <w:p>
      <w:pPr>
        <w:spacing w:after="160"/>
      </w:pPr>
    </w:p>
    <w:p>
      <w:pPr>
        <w:pStyle w:val="Heading2"/>
        <w:spacing w:after="140" w:before="320"/>
      </w:pPr>
      <w:r>
        <w:rPr>
          <w:rFonts w:ascii="Calibri Light" w:cs="Calibri Light" w:eastAsia="Calibri Light" w:hAnsi="Calibri Light"/>
          <w:b/>
          <w:bCs/>
          <w:color w:val="1E2761"/>
          <w:sz w:val="28"/>
          <w:szCs w:val="28"/>
        </w:rPr>
        <w:t xml:space="preserve">12.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5280"/>
        <w:gridCol w:w="1639"/>
        <w:gridCol w:w="1639"/>
      </w:tblGrid>
      <w:tr>
        <w:trPr>
          <w:cantSplit/>
          <w:tblHeader/>
        </w:trPr>
        <w:tc>
          <w:tcPr>
            <w:tcW w:type="dxa" w:w="80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w:t>
            </w:r>
          </w:p>
        </w:tc>
        <w:tc>
          <w:tcPr>
            <w:tcW w:type="dxa" w:w="528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Item</w:t>
            </w:r>
          </w:p>
        </w:tc>
        <w:tc>
          <w:tcPr>
            <w:tcW w:type="dxa" w:w="163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Blocks</w:t>
            </w:r>
          </w:p>
        </w:tc>
        <w:tc>
          <w:tcPr>
            <w:tcW w:type="dxa" w:w="163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pPr>
            <w:r>
              <w:rPr>
                <w:rFonts w:ascii="Calibri" w:cs="Calibri" w:eastAsia="Calibri" w:hAnsi="Calibri"/>
                <w:b/>
                <w:bCs/>
                <w:color w:val="1E2761"/>
                <w:sz w:val="20"/>
                <w:szCs w:val="20"/>
              </w:rPr>
              <w:t xml:space="preserve">Owner</w:t>
            </w:r>
          </w:p>
        </w:tc>
      </w:tr>
      <w:tr>
        <w:trPr>
          <w:cantSplit/>
        </w:trPr>
        <w:tc>
          <w:tcPr>
            <w:tcW w:type="dxa" w:w="80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1</w:t>
            </w:r>
          </w:p>
        </w:tc>
        <w:tc>
          <w:tcPr>
            <w:tcW w:type="dxa" w:w="528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Speech-to-text provider selection (EI-1)</w:t>
            </w:r>
          </w:p>
        </w:tc>
        <w:tc>
          <w:tcPr>
            <w:tcW w:type="dxa" w:w="16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FR-305, UC-01</w:t>
            </w:r>
          </w:p>
        </w:tc>
        <w:tc>
          <w:tcPr>
            <w:tcW w:type="dxa" w:w="16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Technical lead</w:t>
            </w:r>
          </w:p>
        </w:tc>
      </w:tr>
      <w:tr>
        <w:trPr>
          <w:cantSplit/>
        </w:trPr>
        <w:tc>
          <w:tcPr>
            <w:tcW w:type="dxa" w:w="80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2</w:t>
            </w:r>
          </w:p>
        </w:tc>
        <w:tc>
          <w:tcPr>
            <w:tcW w:type="dxa" w:w="528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Embeddings provider and retrieval index selection (EI-3, EI-4)</w:t>
            </w:r>
          </w:p>
        </w:tc>
        <w:tc>
          <w:tcPr>
            <w:tcW w:type="dxa" w:w="16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FR-601, FR-615</w:t>
            </w:r>
          </w:p>
        </w:tc>
        <w:tc>
          <w:tcPr>
            <w:tcW w:type="dxa" w:w="16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Technical lead</w:t>
            </w:r>
          </w:p>
        </w:tc>
      </w:tr>
      <w:tr>
        <w:trPr>
          <w:cantSplit/>
        </w:trPr>
        <w:tc>
          <w:tcPr>
            <w:tcW w:type="dxa" w:w="80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3</w:t>
            </w:r>
          </w:p>
        </w:tc>
        <w:tc>
          <w:tcPr>
            <w:tcW w:type="dxa" w:w="528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Email provider capable of acknowledgement volume (EI-7)</w:t>
            </w:r>
          </w:p>
        </w:tc>
        <w:tc>
          <w:tcPr>
            <w:tcW w:type="dxa" w:w="16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FR-706</w:t>
            </w:r>
          </w:p>
        </w:tc>
        <w:tc>
          <w:tcPr>
            <w:tcW w:type="dxa" w:w="16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Project lead</w:t>
            </w:r>
          </w:p>
        </w:tc>
      </w:tr>
      <w:tr>
        <w:trPr>
          <w:cantSplit/>
        </w:trPr>
        <w:tc>
          <w:tcPr>
            <w:tcW w:type="dxa" w:w="80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4</w:t>
            </w:r>
          </w:p>
        </w:tc>
        <w:tc>
          <w:tcPr>
            <w:tcW w:type="dxa" w:w="528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Confirm pricing behaviour above the included seat count</w:t>
            </w:r>
          </w:p>
        </w:tc>
        <w:tc>
          <w:tcPr>
            <w:tcW w:type="dxa" w:w="16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FR-902</w:t>
            </w:r>
          </w:p>
        </w:tc>
        <w:tc>
          <w:tcPr>
            <w:tcW w:type="dxa" w:w="16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Sponsor</w:t>
            </w:r>
          </w:p>
        </w:tc>
      </w:tr>
      <w:tr>
        <w:trPr>
          <w:cantSplit/>
        </w:trPr>
        <w:tc>
          <w:tcPr>
            <w:tcW w:type="dxa" w:w="80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5</w:t>
            </w:r>
          </w:p>
        </w:tc>
        <w:tc>
          <w:tcPr>
            <w:tcW w:type="dxa" w:w="528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Confirm recording retention default</w:t>
            </w:r>
          </w:p>
        </w:tc>
        <w:tc>
          <w:tcPr>
            <w:tcW w:type="dxa" w:w="16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FR-910, data retention</w:t>
            </w:r>
          </w:p>
        </w:tc>
        <w:tc>
          <w:tcPr>
            <w:tcW w:type="dxa" w:w="163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Sponsor</w:t>
            </w:r>
          </w:p>
        </w:tc>
      </w:tr>
      <w:tr>
        <w:trPr>
          <w:cantSplit/>
        </w:trPr>
        <w:tc>
          <w:tcPr>
            <w:tcW w:type="dxa" w:w="80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6</w:t>
            </w:r>
          </w:p>
        </w:tc>
        <w:tc>
          <w:tcPr>
            <w:tcW w:type="dxa" w:w="528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Confirm whether acknowledgement records require a signature-grade attestation</w:t>
            </w:r>
          </w:p>
        </w:tc>
        <w:tc>
          <w:tcPr>
            <w:tcW w:type="dxa" w:w="16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FR-703</w:t>
            </w:r>
          </w:p>
        </w:tc>
        <w:tc>
          <w:tcPr>
            <w:tcW w:type="dxa" w:w="163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pPr>
            <w:r>
              <w:rPr>
                <w:rFonts w:ascii="Calibri" w:cs="Calibri" w:eastAsia="Calibri" w:hAnsi="Calibri"/>
                <w:color w:val="1E2761"/>
                <w:sz w:val="20"/>
                <w:szCs w:val="20"/>
              </w:rPr>
              <w:t xml:space="preserve">Sponsor</w:t>
            </w:r>
          </w:p>
        </w:tc>
      </w:tr>
    </w:tbl>
    <w:p>
      <w:pPr>
        <w:spacing w:after="160"/>
      </w:pPr>
    </w:p>
    <w:p>
      <w:pPr>
        <w:spacing w:after="140" w:before="60" w:line="276"/>
      </w:pPr>
      <w:r>
        <w:rPr>
          <w:rFonts w:ascii="Calibri" w:cs="Calibri" w:eastAsia="Calibri" w:hAnsi="Calibri"/>
          <w:color w:val="1E2761"/>
          <w:sz w:val="20"/>
          <w:szCs w:val="20"/>
        </w:rPr>
        <w:t xml:space="preserve">Items 1 and 2 are not specification gaps but procurement gaps: the requirements are defined, the vendors are not chosen.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4" w:sz="4" w:space="6"/>
      </w:pBdr>
      <w:tabs>
        <w:tab w:val="right" w:pos="9360"/>
      </w:tabs>
      <w:spacing w:after="200"/>
    </w:pPr>
    <w:r>
      <w:rPr>
        <w:rFonts w:ascii="Calibri" w:cs="Calibri" w:eastAsia="Calibri" w:hAnsi="Calibri"/>
        <w:color w:val="6B6B6B"/>
        <w:sz w:val="16"/>
        <w:szCs w:val="16"/>
      </w:rPr>
      <w:t xml:space="preserve">FlowZapp</w:t>
    </w:r>
    <w:r>
      <w:rPr>
        <w:rFonts w:ascii="Calibri" w:cs="Calibri" w:eastAsia="Calibri" w:hAnsi="Calibri"/>
        <w:color w:val="6B6B6B"/>
        <w:sz w:val="16"/>
        <w:szCs w:val="16"/>
      </w:rPr>
      <w:t xml:space="preserve">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dc:title>
  <dc:creator>FlowZapp</dc:creator>
  <dc:description>FSD — numbered functional requirements with full traceability</dc:description>
  <cp:lastModifiedBy>Un-named</cp:lastModifiedBy>
  <cp:revision>1</cp:revision>
  <dcterms:created xsi:type="dcterms:W3CDTF">2026-09-16T12:18:39.999Z</dcterms:created>
  <dcterms:modified xsi:type="dcterms:W3CDTF">2026-09-16T12:18:39.999Z</dcterms:modified>
</cp:coreProperties>
</file>

<file path=docProps/custom.xml><?xml version="1.0" encoding="utf-8"?>
<Properties xmlns="http://schemas.openxmlformats.org/officeDocument/2006/custom-properties" xmlns:vt="http://schemas.openxmlformats.org/officeDocument/2006/docPropsVTypes"/>
</file>