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6B6B"/>
          <w:spacing w:val="60"/>
          <w:sz w:val="18"/>
          <w:szCs w:val="18"/>
        </w:rPr>
        <w:t xml:space="preserve">FLOWZAPP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E2761"/>
          <w:sz w:val="52"/>
          <w:szCs w:val="52"/>
        </w:rPr>
        <w:t xml:space="preserve">Documentation Index</w:t>
      </w:r>
    </w:p>
    <w:p>
      <w:pPr>
        <w:pBdr>
          <w:top w:val="single" w:color="D4D4D4" w:sz="6" w:space="12"/>
        </w:pBdr>
        <w:spacing w:after="200" w:before="160"/>
      </w:pPr>
      <w:r>
        <w:rPr>
          <w:rFonts w:ascii="Calibri" w:cs="Calibri" w:eastAsia="Calibri" w:hAnsi="Calibri"/>
          <w:color w:val="6B6B6B"/>
          <w:sz w:val="24"/>
          <w:szCs w:val="24"/>
        </w:rPr>
        <w:t xml:space="preserve">Document map, reading order, and which document governs</w:t>
      </w:r>
    </w:p>
    <w:p>
      <w:r>
        <w:rPr>
          <w:rFonts w:ascii="Calibri" w:cs="Calibri" w:eastAsia="Calibri" w:hAnsi="Calibri"/>
          <w:color w:val="6B6B6B"/>
          <w:sz w:val="20"/>
          <w:szCs w:val="20"/>
        </w:rPr>
        <w:t xml:space="preserve">Version 1.0  ·  Project documentation  ·  2026</w:t>
      </w:r>
    </w:p>
    <w:p>
      <w:r>
        <w:br w:type="page"/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FlowZapp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turns screen recordings into approved, searchable standard operating procedures.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Complete documentation set derived from the product concept deck (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FlowZapp-Product-Concept.pptx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, 2026).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Stack revision — September 2026.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The build stack moved to Angular 21 + PrimeNG on Laravel 12 / MySQL 8.4, with Valkey, DigitalOcean Spaces and the Claude API. Documents 03 and 04 were rewritten (v2.0); 01, 02, 05, 06, 07, 08, 10 and 11 were revised; the deck's architecture slide was updated. Three consequences are worth knowing before reading further: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MySQL has no row-level security.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v1.0 made Postgres RLS the tenancy boundary. That boundary is now application-layer, and a missed scope leaks rather than returning nothing. See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>document 03 (Technical Architecture)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§4 and the conformance test 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>document 08 (QA &amp; Test Plan)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The Claude API supplies neither transcription nor embeddings,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and MySQL 8.4 has no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VECTOR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type. Three providers are therefore still to be chosen; transcription blocks the wedge.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The Hub brand's gold collides with draft amber.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Resolved 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>document 10 (Screen Specification)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by keeping Aura's primary navy and confining gold to marketing surfaces.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The product in one paragraph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A knowledge platform where documentation is generated from real work instead of written from scratch, approved by a named owner, and retrieved through a chatbot that cites the source document. The wedge is one flow: </w:t>
      </w: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screen recording → AI-drafted SOP → approved, searchable, answerable.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Everything else exists to make that flow trustworthy.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3575"/>
        <w:gridCol w:w="3031"/>
        <w:gridCol w:w="2032"/>
      </w:tblGrid>
      <w:tr>
        <w:trPr>
          <w:cantSplit/>
          <w:tblHeader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#</w:t>
            </w:r>
          </w:p>
        </w:tc>
        <w:tc>
          <w:tcPr>
            <w:tcW w:type="dxa" w:w="357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Document</w:t>
            </w:r>
          </w:p>
        </w:tc>
        <w:tc>
          <w:tcPr>
            <w:tcW w:type="dxa" w:w="30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What it's for</w:t>
            </w:r>
          </w:p>
        </w:tc>
        <w:tc>
          <w:tcPr>
            <w:tcW w:type="dxa" w:w="20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Primary reader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01</w:t>
            </w:r>
          </w:p>
        </w:tc>
        <w:tc>
          <w:tcPr>
            <w:tcW w:type="dxa" w:w="357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Product Requirements</w:t>
            </w:r>
          </w:p>
        </w:tc>
        <w:tc>
          <w:tcPr>
            <w:tcW w:type="dxa" w:w="30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Problem, principles, scope, personas, pricing, metrics, risks, open questions</w:t>
            </w:r>
          </w:p>
        </w:tc>
        <w:tc>
          <w:tcPr>
            <w:tcW w:type="dxa" w:w="20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>Product team, engineering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02</w:t>
            </w:r>
          </w:p>
        </w:tc>
        <w:tc>
          <w:tcPr>
            <w:tcW w:type="dxa" w:w="357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Functional Specification</w:t>
            </w:r>
          </w:p>
        </w:tc>
        <w:tc>
          <w:tcPr>
            <w:tcW w:type="dxa" w:w="30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Feature-by-feature behaviour, rules and acceptance criteria</w:t>
            </w:r>
          </w:p>
        </w:tc>
        <w:tc>
          <w:tcPr>
            <w:tcW w:type="dxa" w:w="20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Engineering, QA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03</w:t>
            </w:r>
          </w:p>
        </w:tc>
        <w:tc>
          <w:tcPr>
            <w:tcW w:type="dxa" w:w="357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Technical Architecture</w:t>
            </w:r>
          </w:p>
        </w:tc>
        <w:tc>
          <w:tcPr>
            <w:tcW w:type="dxa" w:w="30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v2.0</w:t>
            </w: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 — stack, tenancy without RLS, pipeline, retrieval, theming</w:t>
            </w:r>
          </w:p>
        </w:tc>
        <w:tc>
          <w:tcPr>
            <w:tcW w:type="dxa" w:w="20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Engineering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04</w:t>
            </w:r>
          </w:p>
        </w:tc>
        <w:tc>
          <w:tcPr>
            <w:tcW w:type="dxa" w:w="357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Database Schema</w:t>
            </w:r>
          </w:p>
        </w:tc>
        <w:tc>
          <w:tcPr>
            <w:tcW w:type="dxa" w:w="30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v2.0</w:t>
            </w: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 — MySQL 8.4 DDL, tenancy enforcement, migration order</w:t>
            </w:r>
          </w:p>
        </w:tc>
        <w:tc>
          <w:tcPr>
            <w:tcW w:type="dxa" w:w="20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Engineering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05</w:t>
            </w:r>
          </w:p>
        </w:tc>
        <w:tc>
          <w:tcPr>
            <w:tcW w:type="dxa" w:w="357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API Specification</w:t>
            </w:r>
          </w:p>
        </w:tc>
        <w:tc>
          <w:tcPr>
            <w:tcW w:type="dxa" w:w="30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REST endpoints, payloads, errors, plan limits</w:t>
            </w:r>
          </w:p>
        </w:tc>
        <w:tc>
          <w:tcPr>
            <w:tcW w:type="dxa" w:w="20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Engineering, integrators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06</w:t>
            </w:r>
          </w:p>
        </w:tc>
        <w:tc>
          <w:tcPr>
            <w:tcW w:type="dxa" w:w="357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Product Backlog</w:t>
            </w:r>
          </w:p>
        </w:tc>
        <w:tc>
          <w:tcPr>
            <w:tcW w:type="dxa" w:w="30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Epics and user stories with points and priorities</w:t>
            </w:r>
          </w:p>
        </w:tc>
        <w:tc>
          <w:tcPr>
            <w:tcW w:type="dxa" w:w="20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Project lead, engineering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07</w:t>
            </w:r>
          </w:p>
        </w:tc>
        <w:tc>
          <w:tcPr>
            <w:tcW w:type="dxa" w:w="357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Roadmap &amp; Milestones</w:t>
            </w:r>
          </w:p>
        </w:tc>
        <w:tc>
          <w:tcPr>
            <w:tcW w:type="dxa" w:w="30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M0–M5 with entry/exit criteria and go/no-go gates</w:t>
            </w:r>
          </w:p>
        </w:tc>
        <w:tc>
          <w:tcPr>
            <w:tcW w:type="dxa" w:w="20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Project lead, CEO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08</w:t>
            </w:r>
          </w:p>
        </w:tc>
        <w:tc>
          <w:tcPr>
            <w:tcW w:type="dxa" w:w="357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QA &amp; Test Plan</w:t>
            </w:r>
          </w:p>
        </w:tc>
        <w:tc>
          <w:tcPr>
            <w:tcW w:type="dxa" w:w="30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Test levels, security suite, AI eval sets, release checklist</w:t>
            </w:r>
          </w:p>
        </w:tc>
        <w:tc>
          <w:tcPr>
            <w:tcW w:type="dxa" w:w="20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QA, engineering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09</w:t>
            </w:r>
          </w:p>
        </w:tc>
        <w:tc>
          <w:tcPr>
            <w:tcW w:type="dxa" w:w="357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Go-To-Market Plan</w:t>
            </w:r>
          </w:p>
        </w:tc>
        <w:tc>
          <w:tcPr>
            <w:tcW w:type="dxa" w:w="30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Positioning, segments, launch sequence, pricing strategy, competition</w:t>
            </w:r>
          </w:p>
        </w:tc>
        <w:tc>
          <w:tcPr>
            <w:tcW w:type="dxa" w:w="20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CEO, project lead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10</w:t>
            </w:r>
          </w:p>
        </w:tc>
        <w:tc>
          <w:tcPr>
            <w:tcW w:type="dxa" w:w="357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Screen Specification</w:t>
            </w:r>
          </w:p>
        </w:tc>
        <w:tc>
          <w:tcPr>
            <w:tcW w:type="dxa" w:w="30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Design language, brand palette, screen inventory</w:t>
            </w:r>
          </w:p>
        </w:tc>
        <w:tc>
          <w:tcPr>
            <w:tcW w:type="dxa" w:w="20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Design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11</w:t>
            </w:r>
          </w:p>
        </w:tc>
        <w:tc>
          <w:tcPr>
            <w:tcW w:type="dxa" w:w="357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Screen Functional Specification</w:t>
            </w:r>
          </w:p>
        </w:tc>
        <w:tc>
          <w:tcPr>
            <w:tcW w:type="dxa" w:w="30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All 24 screens: elements, actions, states, rules</w:t>
            </w:r>
          </w:p>
        </w:tc>
        <w:tc>
          <w:tcPr>
            <w:tcW w:type="dxa" w:w="20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Build reference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12</w:t>
            </w:r>
          </w:p>
        </w:tc>
        <w:tc>
          <w:tcPr>
            <w:tcW w:type="dxa" w:w="357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Project Overview</w:t>
            </w:r>
          </w:p>
        </w:tc>
        <w:tc>
          <w:tcPr>
            <w:tcW w:type="dxa" w:w="30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Start here</w:t>
            </w: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 — what FlowZapp is and where the project stands</w:t>
            </w:r>
          </w:p>
        </w:tc>
        <w:tc>
          <w:tcPr>
            <w:tcW w:type="dxa" w:w="20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Anyone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13</w:t>
            </w:r>
          </w:p>
        </w:tc>
        <w:tc>
          <w:tcPr>
            <w:tcW w:type="dxa" w:w="357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Business Requirements (BRD)</w:t>
            </w:r>
          </w:p>
        </w:tc>
        <w:tc>
          <w:tcPr>
            <w:tcW w:type="dxa" w:w="30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Objectives, scope, BR-01…BR-34, business rules — for sign-off</w:t>
            </w:r>
          </w:p>
        </w:tc>
        <w:tc>
          <w:tcPr>
            <w:tcW w:type="dxa" w:w="20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Sponsor, stakeholders</w:t>
            </w:r>
          </w:p>
        </w:tc>
      </w:tr>
      <w:tr>
        <w:trPr>
          <w:cantSplit/>
        </w:trPr>
        <w:tc>
          <w:tcPr>
            <w:tcW w:type="dxa" w:w="72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14</w:t>
            </w:r>
          </w:p>
        </w:tc>
        <w:tc>
          <w:tcPr>
            <w:tcW w:type="dxa" w:w="357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Functional Specification (FSD)</w:t>
            </w:r>
          </w:p>
        </w:tc>
        <w:tc>
          <w:tcPr>
            <w:tcW w:type="dxa" w:w="303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FR-101…FR-912 with full two-way traceability</w:t>
            </w:r>
          </w:p>
        </w:tc>
        <w:tc>
          <w:tcPr>
            <w:tcW w:type="dxa" w:w="20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color w:val="1E2761"/>
                <w:sz w:val="20"/>
                <w:szCs w:val="20"/>
              </w:rPr>
              <w:t xml:space="preserve">Build, UAT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Which document governs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Documents </w:t>
      </w: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13 and 14 are the formal artifacts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intended for approval and UAT sign-off. Documents 01 and 02 are the working product and engineering specs covering similar ground. They agree today and will drift if both are treated as authoritative. Where they conflict, </w:t>
      </w: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document 14 governs what gets built and tested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, and 02 should be corrected to match.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Reading order by role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CEO / stakeholder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→ 12 → 13 → 07 → 09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Approval / sign-off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→ 13 then 14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UAT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→ 14 (traceability matrix in section 10)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Engineer joining the project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→ 01 → 03 → 04 → 05 → 02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QA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→ 02 → 08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Sprint planning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→ 06 → 07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The two things that decide this project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Is tenancy isolation provably correct without RLS?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This moved up the list at v2.0. Under Postgres a forgotten filter returned nothing; under MySQL a forgotten scope returns every tenant's rows. The conformance test is not a nicety.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Does AI generation produce drafts people approve with light edits?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If not, the wedge fails and nothing downstream matters. This is gate M1 in the roadmap and it is a genuine stop condition, not a checkpoint.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Does the chatbot ever answer confidently and wrongly about a company's own process?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Trust is spent once. This is why retrieval is restricted to approved content, why every answer carries a citation, and why explicit refusal is a feature rather than a fallback.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Decisions still open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Carried forward from the PRD so they don't get lost: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Team tier behaviour above 10 seats — per-seat extension or a new tier.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Transcription provider — blocks M1, the wedge. Claude has no speech-to-text endpoint, so this is a genuine gap in the chosen stack.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Embeddings provider and vector store — block M3. Claude has no embeddings endpoint and MySQL 8.4 has no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VECTOR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type.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Browser capture only, or a desktop recorder if frame quality blocks generation.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Retain full recordings, or discard video after transcript and frames are extracted.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Calibri" w:cs="Calibri" w:eastAsia="Calibri" w:hAnsi="Calibri"/>
          <w:color w:val="1E2761"/>
          <w:sz w:val="20"/>
          <w:szCs w:val="20"/>
        </w:rPr>
        <w:t>Transactional email provider to replace Gmail Workspace SMTP (~2,000 recipients/day) — needed before handbook acknowledgement nudges ship in M4.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Whether handbook acknowledgements need legally meaningful records (signature, export) in v1.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Consistency notes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These documents cross-reference each other. When something changes: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A </w:t>
      </w: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feature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change touches 01 (scope), 02 (behaviour), 06 (stories) and 08 (tests).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A </w:t>
      </w: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data model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change touches 04 (schema) and usually 05 (API).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A </w:t>
      </w: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pricing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change touches 01, 05 (plan limits) and 09.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A </w:t>
      </w:r>
      <w:r>
        <w:rPr>
          <w:rFonts w:ascii="Calibri" w:cs="Calibri" w:eastAsia="Calibri" w:hAnsi="Calibri"/>
          <w:b/>
          <w:bCs/>
          <w:color w:val="1E2761"/>
          <w:sz w:val="20"/>
          <w:szCs w:val="20"/>
        </w:rPr>
        <w:t xml:space="preserve">sequencing</w:t>
      </w:r>
      <w:r>
        <w:rPr>
          <w:rFonts w:ascii="Calibri" w:cs="Calibri" w:eastAsia="Calibri" w:hAnsi="Calibri"/>
          <w:color w:val="1E2761"/>
          <w:sz w:val="20"/>
          <w:szCs w:val="20"/>
        </w:rPr>
        <w:t xml:space="preserve"> change touches 06 (priorities) and 07 (milestones).</w:t>
      </w:r>
    </w:p>
    <w:p>
      <w:pPr>
        <w:spacing w:after="140" w:before="60" w:line="276"/>
      </w:pPr>
      <w:r>
        <w:rPr>
          <w:rFonts w:ascii="Calibri" w:cs="Calibri" w:eastAsia="Calibri" w:hAnsi="Calibri"/>
          <w:color w:val="1E2761"/>
          <w:sz w:val="20"/>
          <w:szCs w:val="20"/>
        </w:rPr>
        <w:t xml:space="preserve">Version every document at the top and keep the version in sync with the milestone it describes.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4" w:sz="4" w:space="6"/>
      </w:pBdr>
      <w:tabs>
        <w:tab w:val="right" w:pos="9360"/>
      </w:tabs>
      <w:spacing w:after="200"/>
    </w:pPr>
    <w:r>
      <w:rPr>
        <w:rFonts w:ascii="Calibri" w:cs="Calibri" w:eastAsia="Calibri" w:hAnsi="Calibri"/>
        <w:color w:val="6B6B6B"/>
        <w:sz w:val="16"/>
        <w:szCs w:val="16"/>
      </w:rPr>
      <w:t xml:space="preserve">FlowZapp</w:t>
    </w:r>
    <w:r>
      <w:rPr>
        <w:rFonts w:ascii="Calibri" w:cs="Calibri" w:eastAsia="Calibri" w:hAnsi="Calibri"/>
        <w:color w:val="6B6B6B"/>
        <w:sz w:val="16"/>
        <w:szCs w:val="16"/>
      </w:rPr>
      <w:t xml:space="preserve">	Documentation Index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Index</dc:title>
  <dc:creator>FlowZapp</dc:creator>
  <dc:description>Document map, reading order, and which document governs</dc:description>
  <cp:lastModifiedBy>Un-named</cp:lastModifiedBy>
  <cp:revision>1</cp:revision>
  <dcterms:created xsi:type="dcterms:W3CDTF">2026-09-16T12:18:39.573Z</dcterms:created>
  <dcterms:modified xsi:type="dcterms:W3CDTF">2026-09-16T12:18:39.574Z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