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Database Schema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>MySQL 8.4 DDL, tenancy enforcement and migration order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2.0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0. Migration notes from v1.0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3488"/>
        <w:gridCol w:w="4179"/>
      </w:tblGrid>
      <w:tr>
        <w:trPr>
          <w:tblHeader/>
        </w:trP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v1.0 (PostgreSQL)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v2.0 (MySQL 8.4)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Consequence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uuid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gen_random_uuid()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char(26)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ULID, generated by Laravel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Monotonic, so clustered-index inserts stay sequential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jsonb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 index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generated columns + functional indexes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Anything queried inside JSON needs an explicit generated column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create type … as enum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enum(...)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inline, or lookup table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Adding a value is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ALTER TABLE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instant when appended last in 8.0+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tsvector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FULLTEXT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index on a materialised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body_text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column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Weaker ranking control — see architecture §6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bigserial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bigint unsigned auto_increment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varbinary(16)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 via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INET6_ATON()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timestamptz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with the session in UTC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time_zone = '+00:00'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on the connection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Row-Level Security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None — application layer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See §7. This is the consequential change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Engine and collation for every table: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ENGINE=InnoDB DEFAULT CHARSET=utf8mb4 COLLATE=utf8mb4_0900_ai_ci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char(26)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ULID primary keys, generated in PHP (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Str::ulid()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), never by the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Every tenant-scoped table carries `workspace_id`.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It is the first column of most composite indexes and the anchor for application-layer scoping.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created_at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Laravel's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timestamps()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 delete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deleted_at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where history matters; hard delete only for media.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 content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never HTML.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declared with explicit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ON DELETE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behaviour. MySQL enforces them under InnoDB; do not rely on application-only integrity.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Core tenancy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slug          varchar(80)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plan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settings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uq_workspaces_slug (slug)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email_verified_at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password      varchar(255) null,          -- null when magic-link only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locale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avatar_path   varchar(255)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remember_token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uq_users_email (email)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invited_by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joined_at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uq_ws_member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ix_ws_member_user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fk_wsm_ws   foreign key (workspace_id) references workspaces(id)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fk_wsm_user foreign key (user_id)      references users(id)   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fk_wsm_inv  foreign key (invited_by)   references users(id)   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workspace_invites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token_hash    char(64)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expires_at   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accepted_at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revoked_at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uq_invite_token (token_hash),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ix_invite_ws_email (workspace_id, email),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fk_inv_ws foreign key (workspace_id) references workspaces(id)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token_hash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stores a SHA-256 of the invite token, never the token itself. The raw value exists only in the emailed link.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Spaces, folders, documents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description 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is_handbook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uq_space_name (workspace_id, name),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fk_space_ws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'reader',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uq_space_member (space_id,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fk_sm_space foreign key (space_id) references 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fk_sm_user  foreign key (user_id)  references users(id)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folders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parent_id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depth         tinyint unsigned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ix_folder_tree (workspace_id, space_id, parent_id),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fk_folder_parent foreign key (parent_id)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ck_folder_depth  check (depth &lt;= 5)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doc_type            enum('sop','policy','handbook_page','note') not null default 'sop',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     enum('draft','in_review','approved','archived') not null default 'draft',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owner_id 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    mediumtext null,       -- flattened plain text, maintained on save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approved_version_id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requires_ack 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review_due_at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translation_of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translation_stale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deleted_at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ix_doc_scope  (workspace_id, 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ix_doc_folder (folder_id),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ix_doc_owner  (owner_id),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ix_doc_review (workspace_id, review_due_at),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fulltext key ft_doc_search (title, body_text),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fk_doc_folder foreign key (folder_id) references folders(id)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fk_doc_owner  foreign key (owner_id)  references users(id)  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fk_doc_trans  foreign key (translation_of) references documents(id) on delete set null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things here differ meaningfully from v1.0.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`body_text` is new and is not redundant.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Postgres could index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tsvector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derived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jsonb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cannot build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over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column, so the plain text has to be materialised into a real column. It is written by the application on every save — flatten the content blocks to text — and is the only column,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title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that full-text search reads. If it drifts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search silently goes stale, so the flattening belongs in one place: a model observer, not a controller.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`documents.content` remains the working copy.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 approved content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That split is what lets an approved document stay published while a new draft is edited.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Steps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Steps are rows as well as content, because chunking, citation deep links and checkpoint state all need to address a step by ID.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document_steps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null,             -- null = working draft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instruction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note    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expected_result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is_critical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is_checkpoint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media_asset_id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source_ts_start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source_ts_end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verified_at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uq_step_pos (document_id, version_id,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ix_step_doc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fk_step_doc foreign key (document_id) references documents(id)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verified_at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new in v2.0, supporting the draft-review gate: submit stays blocked until every step is verified or edited.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b/>
          <w:bCs/>
          <w:i/>
          <w:iCs/>
          <w:color w:val="6B6B6B"/>
          <w:sz w:val="20"/>
          <w:szCs w:val="20"/>
        </w:rPr>
        <w:t xml:space="preserve">MySQL caveat.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unique key (document_id, version_id, position)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does not prevent duplicate positions on the working draft, because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version_id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is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NULL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there and MySQL treats each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NULL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as distinct. Enforce working-draft position uniqueness in the application, or use the sentinel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'0'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instead of </w:t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  <w:t xml:space="preserve">NULL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  <w:t xml:space="preserve"> for the working copy. The sentinel is the safer choice and is what the migration uses.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Versioning and approvals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document_versions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version_number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mediumtext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change_summary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authored_by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uq_version_no (document_id, version_number),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ix_version_ws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fk_ver_doc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fk_doc_approved_version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(approved_version_id) references document_versions(id)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fk_doc_source_recording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(source_recording_id) references recordings(id)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approvals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requested_by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reviewer_id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from_state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to_state  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comment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ix_appr_doc (document_id,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fk_appr_doc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acknowledgements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acknowledged_at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 (version_id,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fk_ack_ver  foreign key (version_id) references document_versions(id)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fk_ack_user foreign key (user_id)    references users(id)            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is unique per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version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per document. That is what makes a new publish re-trigger it.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`version_number` assignment.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v1.0 used a Postgres trigger. In MySQL, do it in the application inside the approval transaction: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 max(version_number) … for update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insert. The row lock plus the unique key make concurrent approvals safe — the loser gets a duplicate-key error and retries, which is correct behaviour rather than a bug.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and the pipeline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uploaded_by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  varchar(500) not null,      -- {workspace_id}/{recording_id}/source.webm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duration_sec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enum('uploaded','transcribing','segmenting','generating','draft_ready','failed')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    not null default 'uploaded',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failure_reason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ix_rec_scope (workspace_id,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fk_rec_space foreign key (space_id)    references spaces(id)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fk_rec_user  foreign key (uploaded_by) references users(id)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transcripts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varchar(10)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full_text    longtext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words        json null,                    -- [{w, start, end, conf}]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     varchar(50) null,             -- which transcription driver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uq_transcript_rec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fk_trans_rec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recording_segments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ts_start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ts_end  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summary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frame_asset_id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uq_seg_pos (recording_id,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fk_seg_rec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media_assets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kind         enum('frame','image','attachment','video')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varchar(500)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width 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height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ix_media_doc (workspace_id, document_id),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fk_media_rec foreign key (recording_id) references recordings(id)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fk_media_doc foreign key (document_id)  references documents(id)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pipeline_jobs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stage        enum('transcribe','segment','frames','generate','embed')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job_key      varchar(191)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enum('queued','running','succeeded','failed') not null default 'queued',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attempts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cost_usd     decimal(10,5)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error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started_at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finished_at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uq_job_key (job_key),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ix_job_status (status, stage)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job_key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varchar(191)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varchar(255)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 the unique index stays within InnoDB's 3072-byte limit under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utf8mb4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room to spare.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provider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cost_usd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new: with providers now swappable behind drivers, knowing which one produced a given transcript and what it cost is how the driver choice gets evaluated on evidence.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Laravel's own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job_batches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tables are not reproduced here. With Valkey as the queue driver, only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lives in MySQL.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Retrieval index mirror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Vectors live in the external index. This table is the authoritative record of what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should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 indexed, so drift is detectable.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document_chunks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section_ref  varchar(60) not null,         -- 'step:7', 'section:purpose'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heading_path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token_count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vector_id    varchar(120) null,            -- id in the external index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embed_model  varchar(60) null,             -- which embeddings model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indexed_at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ix_chunk_doc  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ix_chunk_scope (workspace_id, 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ix_chunk_stale (workspace_id, indexed_at),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fk_chunk_doc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fk_chunk_ver foreign key (version_id)  references document_versions(id)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Correctness invariant: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document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state = 'approved'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must have chunks for 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indexed_at is 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Anything else is an alerting condition, not a warning.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embed_model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matters because changing embeddings provider invalidates every existing vector. Recording the model per chunk makes a re-embed migration targetable instead of a full rebuild.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chat_sessions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ix_chat_ws_user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fk_cs_user foreign key (user_id) references users(id)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chat_messages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session_id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enum('user','assistant')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mediumtext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citations     json null,                   -- [{document_id, version_id, section_ref, score}]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refused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latency_ms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rated_helpful tinyint(1)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ix_msg_session (session_id,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ix_msg_refused (workspace_id, refused,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fk_cm_session foreign key (session_id) references chat_sessions(id)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rated_helpful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product metrics, not debug fields — they feed the trust KPIs and the knowledge-gaps report.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ix_msg_refused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exists specifically so that report stays cheap as volume grows.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Billing, usage, audit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subscriptions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tier       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seats                int not null default 3,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provider_customer_id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provider_sub_id     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        varchar(40) not null default 'active',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current_period_end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uq_sub_ws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fk_sub_ws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usage_counters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period_start       date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documents_count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recordings_minutes decimal(12,2)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sop_generations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chat_queries 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llm_cost_usd       decimal(12,5)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primary key (workspace_id, period_start),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fk_usage_ws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audit_log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actor_id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action       varchar(80) not null,         -- 'document.approved', 'member.role_changed'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entity_type  varchar(60)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entity_id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metadata     json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ip           varbinary(16) null,           -- INET6_ATON()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ix_audit_ws  (workspace_id,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ix_audit_ent (entity_type, entity_id)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design, and the application database user is granted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INSERT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it only: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revoke update, delete on sop_app.audit_log from 'app_user'@'%';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DigitalOcean managed MySQL permits per-table grants for non-admin users, so this is enforceable. It is not a substitute for not writing update code, but it is the backstop.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Querying inside JSON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cannot index a whole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column. Anything filtered or sorted on needs a generated column: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column content_block_count int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generated always as (json_length(content, '$.blocks')) stored,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key ix_doc_blocks (content_block_count);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Use this sparingly. If a value is queried often enough to need an index, it usually belongs in a real column — which is exactly why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body_text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plain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mediumtext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a generated column over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Full-text search configuration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session must be UTC for timestamp correctness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set time_zone = '+00:00';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server parameters need setting in the DigitalOcean managed cluster before the full-text index is built, because changing them later requires rebuilding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752"/>
        <w:gridCol w:w="793"/>
        <w:gridCol w:w="5141"/>
      </w:tblGrid>
      <w:tr>
        <w:trPr>
          <w:tblHeader/>
        </w:trP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Parameter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Default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Set to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innodb_ft_min_token_size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 acronyms ("PO", "QA", "HR") are common in procedure text and unsearchable at the default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innodb_ft_server_stopword_table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built-in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custom table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default list strips words that carry meaning in procedures — "before", "after", "not", "must"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custom stopword table must exist and be populated before the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is created.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Tenancy enforcement — replacing RLS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v1.0 enforced isolation with Postgres RLS policies.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MySQL has no equivalent, so this section replaces them entirely.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architecture document covers the reasoning; this is the schema-side contract.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7.1 What the schema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tenant-scoped table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leads the primary lookup index on every such table, so a correctly scoped query is also the fast query.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prevent a row referencing a parent in another workspace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only transitively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will not check that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matches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That last point is a genuine gap. Close it with a check constraint where the parent is stable, and with a model observer otherwise: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example: guarantee a step cannot claim a different workspace than its document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document_steps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ck_step_ws check (workspace_id is not null);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8.4 check constraints cannot reference another table, so cross-table workspace consistency is asserted in tests, not in the schema. The conformance test in §7.3 covers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7.2 What the application must guarantee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072"/>
      </w:tblGrid>
      <w:tr>
        <w:trPr>
          <w:tblHeader/>
        </w:trP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Rule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Mechanism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Reads are workspace-scoped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TenantModel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global scope on every tenant model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Writes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from context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Model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creating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hook; request payload value ignored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 raw unscoped queries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Static analysis rule, with an explicit allowlist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Space-level access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Laravel Policies, evaluated per document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Retrieval scoped independently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Vector index metadata filter on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state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7.3 The conformance test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single test enumerates the live schema and asserts, for every table not on the global allowlist: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 exists and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index exists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its first column;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corresponding Eloquent model exists and extends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not in the model's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This test is the replacement for RLS and must never be skipped to unblock a release.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RLS a missing filter returned nothing; here a missing scope returns every tenant's rows. The failure mode inverted, so the test carries the weight the database used to.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global allowlist is short and every entry needs justification in review: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migrations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password_reset_tokens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personal_access_tokens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the custom stopword table.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Migration order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 migrations, in this sequence: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workspace_invites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folders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the two deferred foreign keys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recording_segments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media_assets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approvals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chat_messages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subscriptions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usage_counters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Stopword table and full-text index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Grant revocation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Seed data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3 needs care: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document_versions.document_id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Create both tables first, then add both foreign keys.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documents.source_recording_id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waits for step 5.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Database Schema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Schema</dc:title>
  <dc:creator>Project Documentation</dc:creator>
  <dc:description>PostgreSQL DDL, RLS policies and migration order</dc:description>
  <cp:lastModifiedBy>Un-named</cp:lastModifiedBy>
  <cp:revision>1</cp:revision>
  <dcterms:created xsi:type="dcterms:W3CDTF">2026-09-16T05:19:00.926Z</dcterms:created>
  <dcterms:modified xsi:type="dcterms:W3CDTF">2026-09-16T05:19:00.926Z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