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22 September 2026</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and choose the correct processing mode.</w:t>
      </w:r>
    </w:p>
    <w:p>
      <w:pPr>
        <w:ind w:left="346" w:hanging="346"/>
      </w:pPr>
      <w:r>
        <w:t xml:space="preserve">2.  </w:t>
      </w:r>
      <w:r>
        <w:t>Enter the required project and numbering information for a full preparation run, or confirm the fallback project text for an image-only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Image-only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image-only mode.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Image-only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image-only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filename. Image-only mode: Images Alt Text Ready filename. Use this document for verification and Anand's importer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or Images and Alt Text only for a document whose CMS structure is already correct.</w:t>
      </w:r>
    </w:p>
    <w:p>
      <w:pPr>
        <w:ind w:left="346" w:hanging="346"/>
      </w:pPr>
      <w:r>
        <w:t xml:space="preserve">3.  </w:t>
      </w:r>
      <w:r>
        <w:t>Set the required inputs. In full mode, enter the actual project ID and first snippet ID. In image-only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image-only processing.</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complex slash fractions or mixed-format mathematical runs.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image-only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Images and Alt Text only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before retesting.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