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14.7  |  26 September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subparts and Assertion–Reason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It preserves the author’s choice wording and requires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Accepted layout</w:t>
            </w:r>
          </w:p>
        </w:tc>
        <w:tc>
          <w:tcPr>
            <w:tcW w:type="dxa" w:w="4176"/>
            <w:shd w:fill="17365D"/>
            <w:tcMar>
              <w:top w:w="100" w:type="dxa"/>
              <w:start w:w="110" w:type="dxa"/>
              <w:bottom w:w="100" w:type="dxa"/>
              <w:end w:w="110" w:type="dxa"/>
            </w:tcMar>
            <w:vAlign w:val="center"/>
          </w:tcPr>
          <w:p>
            <w:pPr>
              <w:jc w:val="center"/>
            </w:pPr>
            <w:r>
              <w:rPr>
                <w:b/>
                <w:color w:val="FFFFFF"/>
                <w:sz w:val="18"/>
              </w:rPr>
              <w:t>Columns</w:t>
            </w:r>
          </w:p>
        </w:tc>
        <w:tc>
          <w:tcPr>
            <w:tcW w:type="dxa" w:w="3960"/>
            <w:shd w:fill="17365D"/>
            <w:tcMar>
              <w:top w:w="100" w:type="dxa"/>
              <w:start w:w="110" w:type="dxa"/>
              <w:bottom w:w="100" w:type="dxa"/>
              <w:end w:w="110" w:type="dxa"/>
            </w:tcMar>
            <w:vAlign w:val="center"/>
          </w:tcPr>
          <w:p>
            <w:pPr>
              <w:jc w:val="center"/>
            </w:pPr>
            <w:r>
              <w:rPr>
                <w:b/>
                <w:color w:val="FFFFFF"/>
                <w:sz w:val="18"/>
              </w:rPr>
              <w:t>How it is processed</w:t>
            </w:r>
          </w:p>
        </w:tc>
      </w:tr>
      <w:tr>
        <w:trPr>
          <w:cantSplit w:val="true"/>
        </w:trPr>
        <w:tc>
          <w:tcPr>
            <w:tcW w:type="dxa" w:w="2232"/>
            <w:tcMar>
              <w:top w:w="100" w:type="dxa"/>
              <w:start w:w="110" w:type="dxa"/>
              <w:bottom w:w="100" w:type="dxa"/>
              <w:end w:w="110" w:type="dxa"/>
            </w:tcMar>
            <w:vAlign w:val="center"/>
          </w:tcPr>
          <w:p>
            <w:pPr>
              <w:spacing w:after="0"/>
            </w:pPr>
            <w:r>
              <w:rPr>
                <w:sz w:val="17"/>
              </w:rPr>
              <w:t>Long format</w:t>
            </w:r>
          </w:p>
        </w:tc>
        <w:tc>
          <w:tcPr>
            <w:tcW w:type="dxa" w:w="4176"/>
            <w:tcMar>
              <w:top w:w="100" w:type="dxa"/>
              <w:start w:w="110" w:type="dxa"/>
              <w:bottom w:w="100" w:type="dxa"/>
              <w:end w:w="110" w:type="dxa"/>
            </w:tcMar>
            <w:vAlign w:val="center"/>
          </w:tcPr>
          <w:p>
            <w:pPr>
              <w:spacing w:after="0"/>
            </w:pPr>
            <w:r>
              <w:rPr>
                <w:sz w:val="17"/>
              </w:rPr>
              <w:t>Question or Project; optional Snippet ID; Mapping Type; Path</w:t>
            </w:r>
          </w:p>
        </w:tc>
        <w:tc>
          <w:tcPr>
            <w:tcW w:type="dxa" w:w="3960"/>
            <w:tcMar>
              <w:top w:w="100" w:type="dxa"/>
              <w:start w:w="110" w:type="dxa"/>
              <w:bottom w:w="100" w:type="dxa"/>
              <w:end w:w="110" w:type="dxa"/>
            </w:tcMar>
            <w:vAlign w:val="center"/>
          </w:tcPr>
          <w:p>
            <w:pPr>
              <w:spacing w:after="0"/>
            </w:pPr>
            <w:r>
              <w:rPr>
                <w:sz w:val="17"/>
              </w:rPr>
              <w:t>One mapping path per row. Mapping Type must be Curriculum or Taxonomy.</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team format</w:t>
            </w:r>
          </w:p>
        </w:tc>
        <w:tc>
          <w:tcPr>
            <w:tcW w:type="dxa" w:w="4176"/>
            <w:shd w:fill="EEF5FB"/>
            <w:tcMar>
              <w:top w:w="100" w:type="dxa"/>
              <w:start w:w="110" w:type="dxa"/>
              <w:bottom w:w="100" w:type="dxa"/>
              <w:end w:w="110" w:type="dxa"/>
            </w:tcMar>
            <w:vAlign w:val="center"/>
          </w:tcPr>
          <w:p>
            <w:pPr>
              <w:spacing w:after="0"/>
            </w:pPr>
            <w:r>
              <w:rPr>
                <w:sz w:val="17"/>
              </w:rPr>
              <w:t>Project with qno or Project; optional Snippet ID; Taxonomy; Curriculum</w:t>
            </w:r>
          </w:p>
        </w:tc>
        <w:tc>
          <w:tcPr>
            <w:tcW w:type="dxa" w:w="3960"/>
            <w:shd w:fill="EEF5FB"/>
            <w:tcMar>
              <w:top w:w="100" w:type="dxa"/>
              <w:start w:w="110" w:type="dxa"/>
              <w:bottom w:w="100" w:type="dxa"/>
              <w:end w:w="110" w:type="dxa"/>
            </w:tcMar>
            <w:vAlign w:val="center"/>
          </w:tcPr>
          <w:p>
            <w:pPr>
              <w:spacing w:after="0"/>
            </w:pPr>
            <w:r>
              <w:rPr>
                <w:sz w:val="17"/>
              </w:rPr>
              <w:t>Each non-empty Taxonomy/Curriculum cell is expanded into mapping rows.</w:t>
            </w:r>
          </w:p>
        </w:tc>
      </w:tr>
      <w:tr>
        <w:trPr>
          <w:cantSplit w:val="true"/>
        </w:trPr>
        <w:tc>
          <w:tcPr>
            <w:tcW w:type="dxa" w:w="2232"/>
            <w:tcMar>
              <w:top w:w="100" w:type="dxa"/>
              <w:start w:w="110" w:type="dxa"/>
              <w:bottom w:w="100" w:type="dxa"/>
              <w:end w:w="110" w:type="dxa"/>
            </w:tcMar>
            <w:vAlign w:val="center"/>
          </w:tcPr>
          <w:p>
            <w:pPr>
              <w:spacing w:after="0"/>
            </w:pPr>
            <w:r>
              <w:rPr>
                <w:sz w:val="17"/>
              </w:rPr>
              <w:t>Wide snippet-only format</w:t>
            </w:r>
          </w:p>
        </w:tc>
        <w:tc>
          <w:tcPr>
            <w:tcW w:type="dxa" w:w="4176"/>
            <w:tcMar>
              <w:top w:w="100" w:type="dxa"/>
              <w:start w:w="110" w:type="dxa"/>
              <w:bottom w:w="100" w:type="dxa"/>
              <w:end w:w="110" w:type="dxa"/>
            </w:tcMar>
            <w:vAlign w:val="center"/>
          </w:tcPr>
          <w:p>
            <w:pPr>
              <w:spacing w:after="0"/>
            </w:pPr>
            <w:r>
              <w:rPr>
                <w:sz w:val="17"/>
              </w:rPr>
              <w:t>Snippet ID; Taxonomy; Curriculum</w:t>
            </w:r>
          </w:p>
        </w:tc>
        <w:tc>
          <w:tcPr>
            <w:tcW w:type="dxa" w:w="3960"/>
            <w:tcMar>
              <w:top w:w="100" w:type="dxa"/>
              <w:start w:w="110" w:type="dxa"/>
              <w:bottom w:w="100" w:type="dxa"/>
              <w:end w:w="110" w:type="dxa"/>
            </w:tcMar>
            <w:vAlign w:val="center"/>
          </w:tcPr>
          <w:p>
            <w:pPr>
              <w:spacing w:after="0"/>
            </w:pPr>
            <w:r>
              <w:rPr>
                <w:sz w:val="17"/>
              </w:rPr>
              <w:t>The supplied snippet identifies the CMS question.</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Wide project-only format</w:t>
            </w:r>
          </w:p>
        </w:tc>
        <w:tc>
          <w:tcPr>
            <w:tcW w:type="dxa" w:w="4176"/>
            <w:shd w:fill="EEF5FB"/>
            <w:tcMar>
              <w:top w:w="100" w:type="dxa"/>
              <w:start w:w="110" w:type="dxa"/>
              <w:bottom w:w="100" w:type="dxa"/>
              <w:end w:w="110" w:type="dxa"/>
            </w:tcMar>
            <w:vAlign w:val="center"/>
          </w:tcPr>
          <w:p>
            <w:pPr>
              <w:spacing w:after="0"/>
            </w:pPr>
            <w:r>
              <w:rPr>
                <w:sz w:val="17"/>
              </w:rPr>
              <w:t>Project with qno or Project; Taxonomy; Curriculum</w:t>
            </w:r>
          </w:p>
        </w:tc>
        <w:tc>
          <w:tcPr>
            <w:tcW w:type="dxa" w:w="3960"/>
            <w:shd w:fill="EEF5FB"/>
            <w:tcMar>
              <w:top w:w="100" w:type="dxa"/>
              <w:start w:w="110" w:type="dxa"/>
              <w:bottom w:w="100" w:type="dxa"/>
              <w:end w:w="110" w:type="dxa"/>
            </w:tcMar>
            <w:vAlign w:val="center"/>
          </w:tcPr>
          <w:p>
            <w:pPr>
              <w:spacing w:after="0"/>
            </w:pPr>
            <w:r>
              <w:rPr>
                <w:sz w:val="17"/>
              </w:rPr>
              <w:t>The app searches CMS and accepts only one exact question-name match before resolving the snippet ID.</w:t>
            </w:r>
          </w:p>
        </w:tc>
      </w:tr>
    </w:tbl>
    <w:p>
      <w:pPr>
        <w:spacing w:after="0"/>
      </w:pPr>
    </w:p>
    <w:p>
      <w:pPr>
        <w:pStyle w:val="ListBullet"/>
      </w:pPr>
      <w:r>
        <w:t>Column order does not matter. Snippet id, Snippet IDs, Project and Project with qno are recognised heading variants.</w:t>
      </w:r>
    </w:p>
    <w:p>
      <w:pPr>
        <w:pStyle w:val="ListBullet"/>
      </w:pPr>
      <w:r>
        <w:t>Several Curriculum or Taxonomy paths may be placed on separate lines in the same spreadsheet cell.</w:t>
      </w:r>
    </w:p>
    <w:p>
      <w:pPr>
        <w:pStyle w:val="ListBullet"/>
      </w:pPr>
      <w:r>
        <w:t>Every row must provide at least one identifier: a positive Snippet ID or a Project with qno/Project value.</w:t>
      </w:r>
    </w:p>
    <w:p>
      <w:pPr>
        <w:pStyle w:val="ListBullet"/>
      </w:pPr>
      <w:r>
        <w:t>When both identifiers are supplied, the app confirms that the snippet’s exact CMS question name matches the Project value.</w:t>
      </w: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The red error lists the failing item and may suggest a close CMS path.</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14.7,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