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14.8  |  29 September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and subparts. For a clearly detected Assertion–Reason item, it can insert only the standard introductory sentence and reports incomplete choice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This introductory sentence is the only Assertion–Reason structural content the app inserts automatically.</w:t>
      </w:r>
    </w:p>
    <w:p>
      <w:pPr>
        <w:pStyle w:val="ListBullet"/>
      </w:pPr>
      <w:r>
        <w:t>It preserves the author’s choice wording and checks for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ListBullet"/>
      </w:pPr>
      <w:r>
        <w:t>Images and Alt Text processing recognises tagged headings and plain headings such as Question 16 Case study. In image-only work it keeps the document text unchanged, uses the detected question number in the filename and replaces stale Alt Text with the current CMS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pStyle w:val="ListBullet"/>
      </w:pPr>
      <w:r>
        <w:t>Project names, spreadsheet headings and Curriculum/Taxonomy paths are matched without regard to uppercase or lowercase. Spelling and the hierarchy of path levels must still match.</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For each missing path, the red error names every affected Project with qno and resolved Snippet ID and lists up to three closest paths from the corresponding live CMS tree. Suggestions are never applied automatically.</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14.8,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