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14.7  |  26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subparts and Assertion–Reason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It preserves the author’s choice wording and requires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pStyle w:val="ListBullet"/>
      </w:pPr>
      <w:r>
        <w:t>Project names, spreadsheet headings and Curriculum/Taxonomy paths are matched without regard to uppercase or lowercase. Spelling and the hierarchy of path levels must still match.</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14.7,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