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14.7  |  26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subparts and Assertion–Reason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It preserves the author’s choice wording and requires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14.7,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