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CMS DOCX Verification Processor</w:t>
      </w:r>
    </w:p>
    <w:p>
      <w:pPr>
        <w:pStyle w:val="Subtitle"/>
      </w:pPr>
      <w:r>
        <w:t>Team authoring, processing and CMS mapping guide  |  Version 14.12  |  17 October 2026</w:t>
      </w:r>
    </w:p>
    <w:p>
      <w:r>
        <w:t>Use this guide for the current Streamlit application. It describes the behaviour that is implemented now. The recommended source is a quality-checked Word document written in the plain authoring format below; CMS tags are generated by the app.</w:t>
      </w:r>
    </w:p>
    <w:p>
      <w:pPr>
        <w:pStyle w:val="Heading1"/>
        <w:keepNext/>
      </w:pPr>
      <w:r>
        <w:t>Start here: ideal input templates before tagging</w:t>
      </w:r>
    </w:p>
    <w:p>
      <w:pPr>
        <w:spacing w:before="60" w:after="120"/>
        <w:ind w:left="259" w:right="259"/>
        <w:shd w:fill="DDEBF7"/>
      </w:pPr>
      <w:r>
        <w:t>Recommended: Use Enter after every displayed line. The app tolerates some clear Shift+Enter structures, but ambiguous manual-line-break content is preserved and reported. Do not type @Question@, @Choices@, @Answers@, @Solution@ or @e@ tags in a new source document.</w:t>
      </w:r>
    </w:p>
    <w:p>
      <w:pPr>
        <w:pStyle w:val="Heading2"/>
        <w:keepNext/>
      </w:pPr>
      <w:r>
        <w:t>Ideal MCQ template</w:t>
      </w:r>
    </w:p>
    <w:p>
      <w:pPr>
        <w:pStyle w:val="TemplateText"/>
        <w:keepLines/>
      </w:pPr>
      <w:r>
        <w:t>Question 1</w:t>
        <w:br/>
        <w:t>Difficulty level: Easy</w:t>
        <w:br/>
        <w:t>Objective: Comprehension</w:t>
        <w:br/>
        <w:t>Question type: MCQ</w:t>
        <w:br/>
        <w:t>Curriculum: CBSE NCERT &gt;&gt; Class 5 &gt;&gt; Mathematics &gt;&gt; [exact CMS path]</w:t>
        <w:br/>
        <w:t>Taxonomy: Mathematics &gt;&gt; [exact CMS path]</w:t>
        <w:br/>
        <w:t>Write the question stem here.</w:t>
        <w:br/>
        <w:t>a) First choice</w:t>
        <w:br/>
        <w:t>b) Second choice</w:t>
        <w:br/>
        <w:t>c) Third choice</w:t>
        <w:br/>
        <w:t>d) Fourth choice</w:t>
        <w:br/>
        <w:t>Answer: b</w:t>
        <w:br/>
        <w:t>Solution:</w:t>
        <w:br/>
        <w:t>Write the actual solution here.</w:t>
      </w:r>
    </w:p>
    <w:p>
      <w:pPr>
        <w:pStyle w:val="ListBullet"/>
      </w:pPr>
      <w:r>
        <w:t>Use exactly four choices, labelled a) to d), with one choice in each Word paragraph.</w:t>
      </w:r>
    </w:p>
    <w:p>
      <w:pPr>
        <w:pStyle w:val="ListBullet"/>
      </w:pPr>
      <w:r>
        <w:t>The answer may be b, b), (b), 2 or b) Second choice. If a label and choice text are both supplied, they must agree.</w:t>
      </w:r>
    </w:p>
    <w:p>
      <w:pPr>
        <w:pStyle w:val="ListBullet"/>
      </w:pPr>
      <w:r>
        <w:t>Curriculum and Taxonomy lines are optional. Include them only when mapping data is required.</w:t>
      </w:r>
    </w:p>
    <w:p>
      <w:pPr>
        <w:pStyle w:val="ListBullet"/>
      </w:pPr>
      <w:r>
        <w:t>If no solution is available, omit the Solution line and solution text. The app creates an empty CMS Solution block and does not invent solution prose.</w:t>
      </w:r>
    </w:p>
    <w:p>
      <w:pPr>
        <w:pStyle w:val="Heading2"/>
        <w:keepNext/>
      </w:pPr>
      <w:r>
        <w:t>Ideal FIB template</w:t>
      </w:r>
    </w:p>
    <w:p>
      <w:pPr>
        <w:pStyle w:val="TemplateText"/>
        <w:keepLines/>
      </w:pPr>
      <w:r>
        <w:t>Question 2</w:t>
        <w:br/>
        <w:t>Difficulty level: Average</w:t>
        <w:br/>
        <w:t>Objective: Application</w:t>
        <w:br/>
        <w:t>Question type: FIB</w:t>
        <w:br/>
        <w:t>Curriculum: CBSE NCERT &gt;&gt; Class 5 &gt;&gt; Mathematics &gt;&gt; [exact CMS path]</w:t>
        <w:br/>
        <w:t>Taxonomy: Mathematics &gt;&gt; [exact CMS path]</w:t>
        <w:br/>
        <w:t>Write the fill-in-the-blank or direct-answer question here.</w:t>
        <w:br/>
        <w:t>Answer: 42</w:t>
        <w:br/>
        <w:t>Solution:</w:t>
        <w:br/>
        <w:t>Write the actual solution here.</w:t>
      </w:r>
    </w:p>
    <w:p>
      <w:pPr>
        <w:pStyle w:val="ListBullet"/>
      </w:pPr>
      <w:r>
        <w:t>Keep a single answer on the same line as Answer:. For several labelled answers, use (a), (b), … or (i), (ii), … and preferably put each answer in a separate paragraph. Clear labelled answers separated with Shift+Enter are also recognised.</w:t>
      </w:r>
    </w:p>
    <w:p>
      <w:pPr>
        <w:pStyle w:val="ListBullet"/>
      </w:pPr>
      <w:r>
        <w:t>Always write Question type: FIB when the answer is a single letter, so the letter cannot be mistaken for an MCQ key.</w:t>
      </w:r>
    </w:p>
    <w:p>
      <w:pPr>
        <w:pStyle w:val="ListBullet"/>
      </w:pPr>
      <w:r>
        <w:t>FIB Answers blocks cannot contain images.</w:t>
      </w:r>
    </w:p>
    <w:p>
      <w:pPr>
        <w:pStyle w:val="Heading2"/>
        <w:keepNext/>
      </w:pPr>
      <w:r>
        <w:t>Permitted compact headings and question notes</w:t>
      </w:r>
    </w:p>
    <w:p>
      <w:r>
        <w:t>The following compact heading is accepted instead of separate Difficulty and Objective lines:</w:t>
      </w:r>
    </w:p>
    <w:p>
      <w:pPr>
        <w:pStyle w:val="TemplateText"/>
        <w:keepLines/>
      </w:pPr>
      <w:r>
        <w:t>Question 3: Easy, Knowledge</w:t>
      </w:r>
    </w:p>
    <w:p>
      <w:r>
        <w:t>Text after the question number on the same line is retained up to Enter:</w:t>
      </w:r>
    </w:p>
    <w:p>
      <w:pPr>
        <w:pStyle w:val="TemplateText"/>
        <w:keepLines/>
      </w:pPr>
      <w:r>
        <w:t>Question 4 Case study</w:t>
        <w:br/>
        <w:t>→ output heading: @Question: 4@ Case study</w:t>
      </w:r>
    </w:p>
    <w:p>
      <w:pPr>
        <w:spacing w:before="60" w:after="120"/>
        <w:ind w:left="259" w:right="259"/>
        <w:shd w:fill="DDEBF7"/>
      </w:pPr>
      <w:r>
        <w:t>Numbering rule: Question numbers in the source must be unique, sequential and in ascending order. Duplicate, missing or out-of-order headings block the CMS-ready DOCX, images ZIP and mapping CSV. Diagnostics distinguish a genuinely missing number, an unrecognised heading candidate, a heading embedded in a multiline paragraph, a duplicate and an out-of-order number, with paragraph positions where available.</w:t>
      </w:r>
    </w:p>
    <w:p>
      <w:pPr>
        <w:pStyle w:val="Heading1"/>
        <w:keepNext/>
      </w:pPr>
      <w:r>
        <w:t>1. End-to-end team workflow</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224"/>
            <w:shd w:fill="17365D"/>
            <w:tcMar>
              <w:top w:w="100" w:type="dxa"/>
              <w:start w:w="110" w:type="dxa"/>
              <w:bottom w:w="100" w:type="dxa"/>
              <w:end w:w="110" w:type="dxa"/>
            </w:tcMar>
            <w:vAlign w:val="center"/>
          </w:tcPr>
          <w:p>
            <w:pPr>
              <w:jc w:val="center"/>
            </w:pPr>
            <w:r>
              <w:rPr>
                <w:b/>
                <w:color w:val="FFFFFF"/>
                <w:sz w:val="18"/>
              </w:rPr>
              <w:t>Stage</w:t>
            </w:r>
          </w:p>
        </w:tc>
        <w:tc>
          <w:tcPr>
            <w:tcW w:type="dxa" w:w="1512"/>
            <w:shd w:fill="17365D"/>
            <w:tcMar>
              <w:top w:w="100" w:type="dxa"/>
              <w:start w:w="110" w:type="dxa"/>
              <w:bottom w:w="100" w:type="dxa"/>
              <w:end w:w="110" w:type="dxa"/>
            </w:tcMar>
            <w:vAlign w:val="center"/>
          </w:tcPr>
          <w:p>
            <w:pPr>
              <w:jc w:val="center"/>
            </w:pPr>
            <w:r>
              <w:rPr>
                <w:b/>
                <w:color w:val="FFFFFF"/>
                <w:sz w:val="18"/>
              </w:rPr>
              <w:t>Who</w:t>
            </w:r>
          </w:p>
        </w:tc>
        <w:tc>
          <w:tcPr>
            <w:tcW w:type="dxa" w:w="5400"/>
            <w:shd w:fill="17365D"/>
            <w:tcMar>
              <w:top w:w="100" w:type="dxa"/>
              <w:start w:w="110" w:type="dxa"/>
              <w:bottom w:w="100" w:type="dxa"/>
              <w:end w:w="110" w:type="dxa"/>
            </w:tcMar>
            <w:vAlign w:val="center"/>
          </w:tcPr>
          <w:p>
            <w:pPr>
              <w:jc w:val="center"/>
            </w:pPr>
            <w:r>
              <w:rPr>
                <w:b/>
                <w:color w:val="FFFFFF"/>
                <w:sz w:val="18"/>
              </w:rPr>
              <w:t>Action</w:t>
            </w:r>
          </w:p>
        </w:tc>
        <w:tc>
          <w:tcPr>
            <w:tcW w:type="dxa" w:w="2232"/>
            <w:shd w:fill="17365D"/>
            <w:tcMar>
              <w:top w:w="100" w:type="dxa"/>
              <w:start w:w="110" w:type="dxa"/>
              <w:bottom w:w="100" w:type="dxa"/>
              <w:end w:w="110" w:type="dxa"/>
            </w:tcMar>
            <w:vAlign w:val="center"/>
          </w:tcPr>
          <w:p>
            <w:pPr>
              <w:jc w:val="center"/>
            </w:pPr>
            <w:r>
              <w:rPr>
                <w:b/>
                <w:color w:val="FFFFFF"/>
                <w:sz w:val="18"/>
              </w:rPr>
              <w:t>Result</w:t>
            </w:r>
          </w:p>
        </w:tc>
      </w:tr>
      <w:tr>
        <w:trPr>
          <w:cantSplit w:val="true"/>
        </w:trPr>
        <w:tc>
          <w:tcPr>
            <w:tcW w:type="dxa" w:w="1224"/>
            <w:tcMar>
              <w:top w:w="100" w:type="dxa"/>
              <w:start w:w="110" w:type="dxa"/>
              <w:bottom w:w="100" w:type="dxa"/>
              <w:end w:w="110" w:type="dxa"/>
            </w:tcMar>
            <w:vAlign w:val="center"/>
          </w:tcPr>
          <w:p>
            <w:pPr>
              <w:spacing w:after="0"/>
            </w:pPr>
            <w:r>
              <w:rPr>
                <w:sz w:val="17"/>
              </w:rPr>
              <w:t>1. Author</w:t>
            </w:r>
          </w:p>
        </w:tc>
        <w:tc>
          <w:tcPr>
            <w:tcW w:type="dxa" w:w="1512"/>
            <w:tcMar>
              <w:top w:w="100" w:type="dxa"/>
              <w:start w:w="110" w:type="dxa"/>
              <w:bottom w:w="100" w:type="dxa"/>
              <w:end w:w="110" w:type="dxa"/>
            </w:tcMar>
            <w:vAlign w:val="center"/>
          </w:tcPr>
          <w:p>
            <w:pPr>
              <w:spacing w:after="0"/>
            </w:pPr>
            <w:r>
              <w:rPr>
                <w:sz w:val="17"/>
              </w:rPr>
              <w:t>Math/content author</w:t>
            </w:r>
          </w:p>
        </w:tc>
        <w:tc>
          <w:tcPr>
            <w:tcW w:type="dxa" w:w="5400"/>
            <w:tcMar>
              <w:top w:w="100" w:type="dxa"/>
              <w:start w:w="110" w:type="dxa"/>
              <w:bottom w:w="100" w:type="dxa"/>
              <w:end w:w="110" w:type="dxa"/>
            </w:tcMar>
            <w:vAlign w:val="center"/>
          </w:tcPr>
          <w:p>
            <w:pPr>
              <w:spacing w:after="0"/>
            </w:pPr>
            <w:r>
              <w:rPr>
                <w:sz w:val="17"/>
              </w:rPr>
              <w:t>Prepare and quality-check the untagged DOCX using the templates in this guide.</w:t>
            </w:r>
          </w:p>
        </w:tc>
        <w:tc>
          <w:tcPr>
            <w:tcW w:type="dxa" w:w="2232"/>
            <w:tcMar>
              <w:top w:w="100" w:type="dxa"/>
              <w:start w:w="110" w:type="dxa"/>
              <w:bottom w:w="100" w:type="dxa"/>
              <w:end w:w="110" w:type="dxa"/>
            </w:tcMar>
            <w:vAlign w:val="center"/>
          </w:tcPr>
          <w:p>
            <w:pPr>
              <w:spacing w:after="0"/>
            </w:pPr>
            <w:r>
              <w:rPr>
                <w:sz w:val="17"/>
              </w:rPr>
              <w:t>Source DOCX</w:t>
            </w:r>
          </w:p>
        </w:tc>
      </w:tr>
      <w:tr>
        <w:trPr>
          <w:cantSplit w:val="true"/>
        </w:trPr>
        <w:tc>
          <w:tcPr>
            <w:tcW w:type="dxa" w:w="1224"/>
            <w:shd w:fill="EEF5FB"/>
            <w:tcMar>
              <w:top w:w="100" w:type="dxa"/>
              <w:start w:w="110" w:type="dxa"/>
              <w:bottom w:w="100" w:type="dxa"/>
              <w:end w:w="110" w:type="dxa"/>
            </w:tcMar>
            <w:vAlign w:val="center"/>
          </w:tcPr>
          <w:p>
            <w:pPr>
              <w:spacing w:after="0"/>
            </w:pPr>
            <w:r>
              <w:rPr>
                <w:sz w:val="17"/>
              </w:rPr>
              <w:t>2. Process</w:t>
            </w:r>
          </w:p>
        </w:tc>
        <w:tc>
          <w:tcPr>
            <w:tcW w:type="dxa" w:w="1512"/>
            <w:shd w:fill="EEF5FB"/>
            <w:tcMar>
              <w:top w:w="100" w:type="dxa"/>
              <w:start w:w="110" w:type="dxa"/>
              <w:bottom w:w="100" w:type="dxa"/>
              <w:end w:w="110" w:type="dxa"/>
            </w:tcMar>
            <w:vAlign w:val="center"/>
          </w:tcPr>
          <w:p>
            <w:pPr>
              <w:spacing w:after="0"/>
            </w:pPr>
            <w:r>
              <w:rPr>
                <w:sz w:val="17"/>
              </w:rPr>
              <w:t>App user</w:t>
            </w:r>
          </w:p>
        </w:tc>
        <w:tc>
          <w:tcPr>
            <w:tcW w:type="dxa" w:w="5400"/>
            <w:shd w:fill="EEF5FB"/>
            <w:tcMar>
              <w:top w:w="100" w:type="dxa"/>
              <w:start w:w="110" w:type="dxa"/>
              <w:bottom w:w="100" w:type="dxa"/>
              <w:end w:w="110" w:type="dxa"/>
            </w:tcMar>
            <w:vAlign w:val="center"/>
          </w:tcPr>
          <w:p>
            <w:pPr>
              <w:spacing w:after="0"/>
            </w:pPr>
            <w:r>
              <w:rPr>
                <w:sz w:val="17"/>
              </w:rPr>
              <w:t>Select the required processing sections, upload the DOCX, review findings and download outputs.</w:t>
            </w:r>
          </w:p>
        </w:tc>
        <w:tc>
          <w:tcPr>
            <w:tcW w:type="dxa" w:w="2232"/>
            <w:shd w:fill="EEF5FB"/>
            <w:tcMar>
              <w:top w:w="100" w:type="dxa"/>
              <w:start w:w="110" w:type="dxa"/>
              <w:bottom w:w="100" w:type="dxa"/>
              <w:end w:w="110" w:type="dxa"/>
            </w:tcMar>
            <w:vAlign w:val="center"/>
          </w:tcPr>
          <w:p>
            <w:pPr>
              <w:spacing w:after="0"/>
            </w:pPr>
            <w:r>
              <w:rPr>
                <w:sz w:val="17"/>
              </w:rPr>
              <w:t>Processed DOCX, image ZIP, mapping CSV, JSON audit</w:t>
            </w:r>
          </w:p>
        </w:tc>
      </w:tr>
      <w:tr>
        <w:trPr>
          <w:cantSplit w:val="true"/>
        </w:trPr>
        <w:tc>
          <w:tcPr>
            <w:tcW w:type="dxa" w:w="1224"/>
            <w:tcMar>
              <w:top w:w="100" w:type="dxa"/>
              <w:start w:w="110" w:type="dxa"/>
              <w:bottom w:w="100" w:type="dxa"/>
              <w:end w:w="110" w:type="dxa"/>
            </w:tcMar>
            <w:vAlign w:val="center"/>
          </w:tcPr>
          <w:p>
            <w:pPr>
              <w:spacing w:after="0"/>
            </w:pPr>
            <w:r>
              <w:rPr>
                <w:sz w:val="17"/>
              </w:rPr>
              <w:t>3. Images</w:t>
            </w:r>
          </w:p>
        </w:tc>
        <w:tc>
          <w:tcPr>
            <w:tcW w:type="dxa" w:w="1512"/>
            <w:tcMar>
              <w:top w:w="100" w:type="dxa"/>
              <w:start w:w="110" w:type="dxa"/>
              <w:bottom w:w="100" w:type="dxa"/>
              <w:end w:w="110" w:type="dxa"/>
            </w:tcMar>
            <w:vAlign w:val="center"/>
          </w:tcPr>
          <w:p>
            <w:pPr>
              <w:spacing w:after="0"/>
            </w:pPr>
            <w:r>
              <w:rPr>
                <w:sz w:val="17"/>
              </w:rPr>
              <w:t>CMS operator</w:t>
            </w:r>
          </w:p>
        </w:tc>
        <w:tc>
          <w:tcPr>
            <w:tcW w:type="dxa" w:w="5400"/>
            <w:tcMar>
              <w:top w:w="100" w:type="dxa"/>
              <w:start w:w="110" w:type="dxa"/>
              <w:bottom w:w="100" w:type="dxa"/>
              <w:end w:w="110" w:type="dxa"/>
            </w:tcMar>
            <w:vAlign w:val="center"/>
          </w:tcPr>
          <w:p>
            <w:pPr>
              <w:spacing w:after="0"/>
            </w:pPr>
            <w:r>
              <w:rPr>
                <w:sz w:val="17"/>
              </w:rPr>
              <w:t>Upload the extracted GIF files to the agreed CMS image folders.</w:t>
            </w:r>
          </w:p>
        </w:tc>
        <w:tc>
          <w:tcPr>
            <w:tcW w:type="dxa" w:w="2232"/>
            <w:tcMar>
              <w:top w:w="100" w:type="dxa"/>
              <w:start w:w="110" w:type="dxa"/>
              <w:bottom w:w="100" w:type="dxa"/>
              <w:end w:w="110" w:type="dxa"/>
            </w:tcMar>
            <w:vAlign w:val="center"/>
          </w:tcPr>
          <w:p>
            <w:pPr>
              <w:spacing w:after="0"/>
            </w:pPr>
            <w:r>
              <w:rPr>
                <w:sz w:val="17"/>
              </w:rPr>
              <w:t>CMS image assets</w:t>
            </w:r>
          </w:p>
        </w:tc>
      </w:tr>
      <w:tr>
        <w:trPr>
          <w:cantSplit w:val="true"/>
        </w:trPr>
        <w:tc>
          <w:tcPr>
            <w:tcW w:type="dxa" w:w="1224"/>
            <w:shd w:fill="EEF5FB"/>
            <w:tcMar>
              <w:top w:w="100" w:type="dxa"/>
              <w:start w:w="110" w:type="dxa"/>
              <w:bottom w:w="100" w:type="dxa"/>
              <w:end w:w="110" w:type="dxa"/>
            </w:tcMar>
            <w:vAlign w:val="center"/>
          </w:tcPr>
          <w:p>
            <w:pPr>
              <w:spacing w:after="0"/>
            </w:pPr>
            <w:r>
              <w:rPr>
                <w:sz w:val="17"/>
              </w:rPr>
              <w:t>4. Populate questions</w:t>
            </w:r>
          </w:p>
        </w:tc>
        <w:tc>
          <w:tcPr>
            <w:tcW w:type="dxa" w:w="1512"/>
            <w:shd w:fill="EEF5FB"/>
            <w:tcMar>
              <w:top w:w="100" w:type="dxa"/>
              <w:start w:w="110" w:type="dxa"/>
              <w:bottom w:w="100" w:type="dxa"/>
              <w:end w:w="110" w:type="dxa"/>
            </w:tcMar>
            <w:vAlign w:val="center"/>
          </w:tcPr>
          <w:p>
            <w:pPr>
              <w:spacing w:after="0"/>
            </w:pPr>
            <w:r>
              <w:rPr>
                <w:sz w:val="17"/>
              </w:rPr>
              <w:t>Anand’s tool</w:t>
            </w:r>
          </w:p>
        </w:tc>
        <w:tc>
          <w:tcPr>
            <w:tcW w:type="dxa" w:w="5400"/>
            <w:shd w:fill="EEF5FB"/>
            <w:tcMar>
              <w:top w:w="100" w:type="dxa"/>
              <w:start w:w="110" w:type="dxa"/>
              <w:bottom w:w="100" w:type="dxa"/>
              <w:end w:w="110" w:type="dxa"/>
            </w:tcMar>
            <w:vAlign w:val="center"/>
          </w:tcPr>
          <w:p>
            <w:pPr>
              <w:spacing w:after="0"/>
            </w:pPr>
            <w:r>
              <w:rPr>
                <w:sz w:val="17"/>
              </w:rPr>
              <w:t>Use the tagged processed DOCX to create/populate the questions in CMS.</w:t>
            </w:r>
          </w:p>
        </w:tc>
        <w:tc>
          <w:tcPr>
            <w:tcW w:type="dxa" w:w="2232"/>
            <w:shd w:fill="EEF5FB"/>
            <w:tcMar>
              <w:top w:w="100" w:type="dxa"/>
              <w:start w:w="110" w:type="dxa"/>
              <w:bottom w:w="100" w:type="dxa"/>
              <w:end w:w="110" w:type="dxa"/>
            </w:tcMar>
            <w:vAlign w:val="center"/>
          </w:tcPr>
          <w:p>
            <w:pPr>
              <w:spacing w:after="0"/>
            </w:pPr>
            <w:r>
              <w:rPr>
                <w:sz w:val="17"/>
              </w:rPr>
              <w:t>Snippets exist in CMS</w:t>
            </w:r>
          </w:p>
        </w:tc>
      </w:tr>
      <w:tr>
        <w:trPr>
          <w:cantSplit w:val="true"/>
        </w:trPr>
        <w:tc>
          <w:tcPr>
            <w:tcW w:type="dxa" w:w="1224"/>
            <w:tcMar>
              <w:top w:w="100" w:type="dxa"/>
              <w:start w:w="110" w:type="dxa"/>
              <w:bottom w:w="100" w:type="dxa"/>
              <w:end w:w="110" w:type="dxa"/>
            </w:tcMar>
            <w:vAlign w:val="center"/>
          </w:tcPr>
          <w:p>
            <w:pPr>
              <w:spacing w:after="0"/>
            </w:pPr>
            <w:r>
              <w:rPr>
                <w:sz w:val="17"/>
              </w:rPr>
              <w:t>5. Apply mappings</w:t>
            </w:r>
          </w:p>
        </w:tc>
        <w:tc>
          <w:tcPr>
            <w:tcW w:type="dxa" w:w="1512"/>
            <w:tcMar>
              <w:top w:w="100" w:type="dxa"/>
              <w:start w:w="110" w:type="dxa"/>
              <w:bottom w:w="100" w:type="dxa"/>
              <w:end w:w="110" w:type="dxa"/>
            </w:tcMar>
            <w:vAlign w:val="center"/>
          </w:tcPr>
          <w:p>
            <w:pPr>
              <w:spacing w:after="0"/>
            </w:pPr>
            <w:r>
              <w:rPr>
                <w:sz w:val="17"/>
              </w:rPr>
              <w:t>App user</w:t>
            </w:r>
          </w:p>
        </w:tc>
        <w:tc>
          <w:tcPr>
            <w:tcW w:type="dxa" w:w="5400"/>
            <w:tcMar>
              <w:top w:w="100" w:type="dxa"/>
              <w:start w:w="110" w:type="dxa"/>
              <w:bottom w:w="100" w:type="dxa"/>
              <w:end w:w="110" w:type="dxa"/>
            </w:tcMar>
            <w:vAlign w:val="center"/>
          </w:tcPr>
          <w:p>
            <w:pPr>
              <w:spacing w:after="0"/>
            </w:pPr>
            <w:r>
              <w:rPr>
                <w:sz w:val="17"/>
              </w:rPr>
              <w:t>Upload the mapping CSV or a separate mapping XLSX, validate, then apply mappings.</w:t>
            </w:r>
          </w:p>
        </w:tc>
        <w:tc>
          <w:tcPr>
            <w:tcW w:type="dxa" w:w="2232"/>
            <w:tcMar>
              <w:top w:w="100" w:type="dxa"/>
              <w:start w:w="110" w:type="dxa"/>
              <w:bottom w:w="100" w:type="dxa"/>
              <w:end w:w="110" w:type="dxa"/>
            </w:tcMar>
            <w:vAlign w:val="center"/>
          </w:tcPr>
          <w:p>
            <w:pPr>
              <w:spacing w:after="0"/>
            </w:pPr>
            <w:r>
              <w:rPr>
                <w:sz w:val="17"/>
              </w:rPr>
              <w:t>Curriculum and Taxonomy mappings added</w:t>
            </w:r>
          </w:p>
        </w:tc>
      </w:tr>
      <w:tr>
        <w:trPr>
          <w:cantSplit w:val="true"/>
        </w:trPr>
        <w:tc>
          <w:tcPr>
            <w:tcW w:type="dxa" w:w="1224"/>
            <w:shd w:fill="EEF5FB"/>
            <w:tcMar>
              <w:top w:w="100" w:type="dxa"/>
              <w:start w:w="110" w:type="dxa"/>
              <w:bottom w:w="100" w:type="dxa"/>
              <w:end w:w="110" w:type="dxa"/>
            </w:tcMar>
            <w:vAlign w:val="center"/>
          </w:tcPr>
          <w:p>
            <w:pPr>
              <w:spacing w:after="0"/>
            </w:pPr>
            <w:r>
              <w:rPr>
                <w:sz w:val="17"/>
              </w:rPr>
              <w:t>6. Verify</w:t>
            </w:r>
          </w:p>
        </w:tc>
        <w:tc>
          <w:tcPr>
            <w:tcW w:type="dxa" w:w="1512"/>
            <w:shd w:fill="EEF5FB"/>
            <w:tcMar>
              <w:top w:w="100" w:type="dxa"/>
              <w:start w:w="110" w:type="dxa"/>
              <w:bottom w:w="100" w:type="dxa"/>
              <w:end w:w="110" w:type="dxa"/>
            </w:tcMar>
            <w:vAlign w:val="center"/>
          </w:tcPr>
          <w:p>
            <w:pPr>
              <w:spacing w:after="0"/>
            </w:pPr>
            <w:r>
              <w:rPr>
                <w:sz w:val="17"/>
              </w:rPr>
              <w:t>Reviewer</w:t>
            </w:r>
          </w:p>
        </w:tc>
        <w:tc>
          <w:tcPr>
            <w:tcW w:type="dxa" w:w="5400"/>
            <w:shd w:fill="EEF5FB"/>
            <w:tcMar>
              <w:top w:w="100" w:type="dxa"/>
              <w:start w:w="110" w:type="dxa"/>
              <w:bottom w:w="100" w:type="dxa"/>
              <w:end w:w="110" w:type="dxa"/>
            </w:tcMar>
            <w:vAlign w:val="center"/>
          </w:tcPr>
          <w:p>
            <w:pPr>
              <w:spacing w:after="0"/>
            </w:pPr>
            <w:r>
              <w:rPr>
                <w:sz w:val="17"/>
              </w:rPr>
              <w:t>Review CMS questions, images, mathematics, answers and mappings.</w:t>
            </w:r>
          </w:p>
        </w:tc>
        <w:tc>
          <w:tcPr>
            <w:tcW w:type="dxa" w:w="2232"/>
            <w:shd w:fill="EEF5FB"/>
            <w:tcMar>
              <w:top w:w="100" w:type="dxa"/>
              <w:start w:w="110" w:type="dxa"/>
              <w:bottom w:w="100" w:type="dxa"/>
              <w:end w:w="110" w:type="dxa"/>
            </w:tcMar>
            <w:vAlign w:val="center"/>
          </w:tcPr>
          <w:p>
            <w:pPr>
              <w:spacing w:after="0"/>
            </w:pPr>
            <w:r>
              <w:rPr>
                <w:sz w:val="17"/>
              </w:rPr>
              <w:t>Verified questions</w:t>
            </w:r>
          </w:p>
        </w:tc>
      </w:tr>
    </w:tbl>
    <w:p>
      <w:pPr>
        <w:spacing w:after="0"/>
      </w:pPr>
    </w:p>
    <w:p>
      <w:r>
        <w:t>Live app: https://qbproject-automation.streamlit.app</w:t>
      </w:r>
    </w:p>
    <w:p>
      <w:r>
        <w:t>The Streamlit URL remains fixed. GitHub updates redeploy the same app URL.</w:t>
      </w:r>
    </w:p>
    <w:p>
      <w:pPr>
        <w:pStyle w:val="Heading1"/>
        <w:keepNext/>
      </w:pPr>
      <w:r>
        <w:t>2. The five independent processing sections</w:t>
      </w:r>
    </w:p>
    <w:p>
      <w:r>
        <w:t>All five sections are selected by default. Clear any section that you do not want the app to change. This replaces the earlier fixed Processing mode choices.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088"/>
            <w:shd w:fill="17365D"/>
            <w:tcMar>
              <w:top w:w="100" w:type="dxa"/>
              <w:start w:w="110" w:type="dxa"/>
              <w:bottom w:w="100" w:type="dxa"/>
              <w:end w:w="110" w:type="dxa"/>
            </w:tcMar>
            <w:vAlign w:val="center"/>
          </w:tcPr>
          <w:p>
            <w:pPr>
              <w:jc w:val="center"/>
            </w:pPr>
            <w:r>
              <w:rPr>
                <w:b/>
                <w:color w:val="FFFFFF"/>
                <w:sz w:val="18"/>
              </w:rPr>
              <w:t>Section</w:t>
            </w:r>
          </w:p>
        </w:tc>
        <w:tc>
          <w:tcPr>
            <w:tcW w:type="dxa" w:w="5904"/>
            <w:shd w:fill="17365D"/>
            <w:tcMar>
              <w:top w:w="100" w:type="dxa"/>
              <w:start w:w="110" w:type="dxa"/>
              <w:bottom w:w="100" w:type="dxa"/>
              <w:end w:w="110" w:type="dxa"/>
            </w:tcMar>
            <w:vAlign w:val="center"/>
          </w:tcPr>
          <w:p>
            <w:pPr>
              <w:jc w:val="center"/>
            </w:pPr>
            <w:r>
              <w:rPr>
                <w:b/>
                <w:color w:val="FFFFFF"/>
                <w:sz w:val="18"/>
              </w:rPr>
              <w:t>What it changes</w:t>
            </w:r>
          </w:p>
        </w:tc>
        <w:tc>
          <w:tcPr>
            <w:tcW w:type="dxa" w:w="2376"/>
            <w:shd w:fill="17365D"/>
            <w:tcMar>
              <w:top w:w="100" w:type="dxa"/>
              <w:start w:w="110" w:type="dxa"/>
              <w:bottom w:w="100" w:type="dxa"/>
              <w:end w:w="110" w:type="dxa"/>
            </w:tcMar>
            <w:vAlign w:val="center"/>
          </w:tcPr>
          <w:p>
            <w:pPr>
              <w:jc w:val="center"/>
            </w:pPr>
            <w:r>
              <w:rPr>
                <w:b/>
                <w:color w:val="FFFFFF"/>
                <w:sz w:val="18"/>
              </w:rPr>
              <w:t>When to clear it</w:t>
            </w:r>
          </w:p>
        </w:tc>
      </w:tr>
      <w:tr>
        <w:trPr>
          <w:cantSplit w:val="true"/>
        </w:trPr>
        <w:tc>
          <w:tcPr>
            <w:tcW w:type="dxa" w:w="2088"/>
            <w:tcMar>
              <w:top w:w="100" w:type="dxa"/>
              <w:start w:w="110" w:type="dxa"/>
              <w:bottom w:w="100" w:type="dxa"/>
              <w:end w:w="110" w:type="dxa"/>
            </w:tcMar>
            <w:vAlign w:val="center"/>
          </w:tcPr>
          <w:p>
            <w:pPr>
              <w:spacing w:after="0"/>
            </w:pPr>
            <w:r>
              <w:rPr>
                <w:sz w:val="17"/>
              </w:rPr>
              <w:t>1. CMS tags and question structure</w:t>
            </w:r>
          </w:p>
        </w:tc>
        <w:tc>
          <w:tcPr>
            <w:tcW w:type="dxa" w:w="5904"/>
            <w:tcMar>
              <w:top w:w="100" w:type="dxa"/>
              <w:start w:w="110" w:type="dxa"/>
              <w:bottom w:w="100" w:type="dxa"/>
              <w:end w:w="110" w:type="dxa"/>
            </w:tcMar>
            <w:vAlign w:val="center"/>
          </w:tcPr>
          <w:p>
            <w:pPr>
              <w:spacing w:after="0"/>
            </w:pPr>
            <w:r>
              <w:rPr>
                <w:sz w:val="17"/>
              </w:rPr>
              <w:t>Detects questions; creates or repairs CMS metadata and section tags; structures clear MCQs/FIBs; checks numbering; repairs clear Type mismatches.</w:t>
            </w:r>
          </w:p>
        </w:tc>
        <w:tc>
          <w:tcPr>
            <w:tcW w:type="dxa" w:w="2376"/>
            <w:tcMar>
              <w:top w:w="100" w:type="dxa"/>
              <w:start w:w="110" w:type="dxa"/>
              <w:bottom w:w="100" w:type="dxa"/>
              <w:end w:w="110" w:type="dxa"/>
            </w:tcMar>
            <w:vAlign w:val="center"/>
          </w:tcPr>
          <w:p>
            <w:pPr>
              <w:spacing w:after="0"/>
            </w:pPr>
            <w:r>
              <w:rPr>
                <w:sz w:val="17"/>
              </w:rPr>
              <w:t>Clear when the existing CMS structure and IDs must remain untouched.</w:t>
            </w:r>
          </w:p>
        </w:tc>
      </w:tr>
      <w:tr>
        <w:trPr>
          <w:cantSplit w:val="true"/>
        </w:trPr>
        <w:tc>
          <w:tcPr>
            <w:tcW w:type="dxa" w:w="2088"/>
            <w:shd w:fill="EEF5FB"/>
            <w:tcMar>
              <w:top w:w="100" w:type="dxa"/>
              <w:start w:w="110" w:type="dxa"/>
              <w:bottom w:w="100" w:type="dxa"/>
              <w:end w:w="110" w:type="dxa"/>
            </w:tcMar>
            <w:vAlign w:val="center"/>
          </w:tcPr>
          <w:p>
            <w:pPr>
              <w:spacing w:after="0"/>
            </w:pPr>
            <w:r>
              <w:rPr>
                <w:sz w:val="17"/>
              </w:rPr>
              <w:t>2. Handle images and Alt Text</w:t>
            </w:r>
          </w:p>
        </w:tc>
        <w:tc>
          <w:tcPr>
            <w:tcW w:type="dxa" w:w="5904"/>
            <w:shd w:fill="EEF5FB"/>
            <w:tcMar>
              <w:top w:w="100" w:type="dxa"/>
              <w:start w:w="110" w:type="dxa"/>
              <w:bottom w:w="100" w:type="dxa"/>
              <w:end w:w="110" w:type="dxa"/>
            </w:tcMar>
            <w:vAlign w:val="center"/>
          </w:tcPr>
          <w:p>
            <w:r>
              <w:t>Extracts images as GIFs, applies CMS filenames, writes filenames to Word Alt Text and reuses exact duplicates.</w:t>
            </w:r>
          </w:p>
        </w:tc>
        <w:tc>
          <w:tcPr>
            <w:tcW w:type="dxa" w:w="2376"/>
            <w:shd w:fill="EEF5FB"/>
            <w:tcMar>
              <w:top w:w="100" w:type="dxa"/>
              <w:start w:w="110" w:type="dxa"/>
              <w:bottom w:w="100" w:type="dxa"/>
              <w:end w:w="110" w:type="dxa"/>
            </w:tcMar>
            <w:vAlign w:val="center"/>
          </w:tcPr>
          <w:p>
            <w:pPr>
              <w:spacing w:after="0"/>
            </w:pPr>
            <w:r>
              <w:rPr>
                <w:sz w:val="17"/>
              </w:rPr>
              <w:t>Clear when images and existing Alt Text must remain exactly as authored.</w:t>
            </w:r>
          </w:p>
        </w:tc>
      </w:tr>
      <w:tr>
        <w:trPr>
          <w:cantSplit w:val="true"/>
        </w:trPr>
        <w:tc>
          <w:tcPr>
            <w:tcW w:type="dxa" w:w="2088"/>
            <w:tcMar>
              <w:top w:w="100" w:type="dxa"/>
              <w:start w:w="110" w:type="dxa"/>
              <w:bottom w:w="100" w:type="dxa"/>
              <w:end w:w="110" w:type="dxa"/>
            </w:tcMar>
            <w:vAlign w:val="center"/>
          </w:tcPr>
          <w:p>
            <w:pPr>
              <w:spacing w:after="0"/>
            </w:pPr>
            <w:r>
              <w:rPr>
                <w:sz w:val="17"/>
              </w:rPr>
              <w:t>3. Apply safe mathematical formatting</w:t>
            </w:r>
          </w:p>
        </w:tc>
        <w:tc>
          <w:tcPr>
            <w:tcW w:type="dxa" w:w="5904"/>
            <w:tcMar>
              <w:top w:w="100" w:type="dxa"/>
              <w:start w:w="110" w:type="dxa"/>
              <w:bottom w:w="100" w:type="dxa"/>
              <w:end w:w="110" w:type="dxa"/>
            </w:tcMar>
            <w:vAlign w:val="center"/>
          </w:tcPr>
          <w:p>
            <w:r>
              <w:t>Preserves every non-empty native equation and verifies its text and structural operators; removes only genuinely blank standalone equation objects; converts safe fractions and radicals; applies conservative variable/geometry italics.</w:t>
            </w:r>
          </w:p>
        </w:tc>
        <w:tc>
          <w:tcPr>
            <w:tcW w:type="dxa" w:w="2376"/>
            <w:tcMar>
              <w:top w:w="100" w:type="dxa"/>
              <w:start w:w="110" w:type="dxa"/>
              <w:bottom w:w="100" w:type="dxa"/>
              <w:end w:w="110" w:type="dxa"/>
            </w:tcMar>
            <w:vAlign w:val="center"/>
          </w:tcPr>
          <w:p>
            <w:pPr>
              <w:spacing w:after="0"/>
            </w:pPr>
            <w:r>
              <w:rPr>
                <w:sz w:val="17"/>
              </w:rPr>
              <w:t>Clear when no mathematical notation or italics may be changed.</w:t>
            </w:r>
          </w:p>
        </w:tc>
      </w:tr>
      <w:tr>
        <w:trPr>
          <w:cantSplit w:val="true"/>
        </w:trPr>
        <w:tc>
          <w:tcPr>
            <w:tcW w:type="dxa" w:w="2088"/>
            <w:shd w:fill="EEF5FB"/>
            <w:tcMar>
              <w:top w:w="100" w:type="dxa"/>
              <w:start w:w="110" w:type="dxa"/>
              <w:bottom w:w="100" w:type="dxa"/>
              <w:end w:w="110" w:type="dxa"/>
            </w:tcMar>
            <w:vAlign w:val="center"/>
          </w:tcPr>
          <w:p>
            <w:pPr>
              <w:spacing w:after="0"/>
            </w:pPr>
            <w:r>
              <w:rPr>
                <w:sz w:val="17"/>
              </w:rPr>
              <w:t>4. Normalize text and document formatting</w:t>
            </w:r>
          </w:p>
        </w:tc>
        <w:tc>
          <w:tcPr>
            <w:tcW w:type="dxa" w:w="5904"/>
            <w:shd w:fill="EEF5FB"/>
            <w:tcMar>
              <w:top w:w="100" w:type="dxa"/>
              <w:start w:w="110" w:type="dxa"/>
              <w:bottom w:w="100" w:type="dxa"/>
              <w:end w:w="110" w:type="dxa"/>
            </w:tcMar>
            <w:vAlign w:val="center"/>
          </w:tcPr>
          <w:p>
            <w:pPr>
              <w:spacing w:after="0"/>
            </w:pPr>
            <w:r>
              <w:rPr>
                <w:sz w:val="17"/>
              </w:rPr>
              <w:t>Normalises spaces, operators, punctuation, rupee notation, whole-block bold, answers and subparts. For a clearly detected Assertion–Reason item, it can insert only the standard introductory sentence and reports incomplete choice structure.</w:t>
            </w:r>
          </w:p>
        </w:tc>
        <w:tc>
          <w:tcPr>
            <w:tcW w:type="dxa" w:w="2376"/>
            <w:shd w:fill="EEF5FB"/>
            <w:tcMar>
              <w:top w:w="100" w:type="dxa"/>
              <w:start w:w="110" w:type="dxa"/>
              <w:bottom w:w="100" w:type="dxa"/>
              <w:end w:w="110" w:type="dxa"/>
            </w:tcMar>
            <w:vAlign w:val="center"/>
          </w:tcPr>
          <w:p>
            <w:pPr>
              <w:spacing w:after="0"/>
            </w:pPr>
            <w:r>
              <w:rPr>
                <w:sz w:val="17"/>
              </w:rPr>
              <w:t>Clear when prose and document formatting must remain untouched.</w:t>
            </w:r>
          </w:p>
        </w:tc>
      </w:tr>
      <w:tr>
        <w:trPr>
          <w:cantSplit w:val="true"/>
        </w:trPr>
        <w:tc>
          <w:tcPr>
            <w:tcW w:type="dxa" w:w="2088"/>
            <w:tcMar>
              <w:top w:w="100" w:type="dxa"/>
              <w:start w:w="110" w:type="dxa"/>
              <w:bottom w:w="100" w:type="dxa"/>
              <w:end w:w="110" w:type="dxa"/>
            </w:tcMar>
            <w:vAlign w:val="center"/>
          </w:tcPr>
          <w:p>
            <w:pPr>
              <w:spacing w:after="0"/>
            </w:pPr>
            <w:r>
              <w:rPr>
                <w:sz w:val="17"/>
              </w:rPr>
              <w:t>5. Prepare curriculum and taxonomy mapping data</w:t>
            </w:r>
          </w:p>
        </w:tc>
        <w:tc>
          <w:tcPr>
            <w:tcW w:type="dxa" w:w="5904"/>
            <w:tcMar>
              <w:top w:w="100" w:type="dxa"/>
              <w:start w:w="110" w:type="dxa"/>
              <w:bottom w:w="100" w:type="dxa"/>
              <w:end w:w="110" w:type="dxa"/>
            </w:tcMar>
            <w:vAlign w:val="center"/>
          </w:tcPr>
          <w:p>
            <w:pPr>
              <w:spacing w:after="0"/>
            </w:pPr>
            <w:r>
              <w:rPr>
                <w:sz w:val="17"/>
              </w:rPr>
              <w:t>Reads mapping paths, links them to question/snippet IDs, removes author-only mapping lines from the output DOCX and creates the mapping CSV.</w:t>
            </w:r>
          </w:p>
        </w:tc>
        <w:tc>
          <w:tcPr>
            <w:tcW w:type="dxa" w:w="2376"/>
            <w:tcMar>
              <w:top w:w="100" w:type="dxa"/>
              <w:start w:w="110" w:type="dxa"/>
              <w:bottom w:w="100" w:type="dxa"/>
              <w:end w:w="110" w:type="dxa"/>
            </w:tcMar>
            <w:vAlign w:val="center"/>
          </w:tcPr>
          <w:p>
            <w:pPr>
              <w:spacing w:after="0"/>
            </w:pPr>
            <w:r>
              <w:rPr>
                <w:sz w:val="17"/>
              </w:rPr>
              <w:t>Clear when mappings are absent or mapping lines must remain in the document.</w:t>
            </w:r>
          </w:p>
        </w:tc>
      </w:tr>
    </w:tbl>
    <w:p>
      <w:pPr>
        <w:spacing w:after="0"/>
      </w:pPr>
    </w:p>
    <w:p>
      <w:pPr>
        <w:spacing w:before="60" w:after="120"/>
        <w:ind w:left="259" w:right="259"/>
        <w:shd w:fill="DDEBF7"/>
      </w:pPr>
      <w:r>
        <w:rPr>
          <w:b/>
        </w:rPr>
        <w:t xml:space="preserve">Note: </w:t>
      </w:r>
      <w:r>
        <w:t>Only selected sections change the document. For the old Images and Alt Text only behaviour, select only section 2. For image handling plus safe math, select sections 2 and 3; select section 4 separately if text normalisation is also wanted.</w:t>
      </w:r>
    </w:p>
    <w:p>
      <w:pPr>
        <w:pStyle w:val="Heading1"/>
        <w:keepNext/>
      </w:pPr>
      <w:r>
        <w:t>3. IDs, numbering and defaults</w:t>
      </w:r>
    </w:p>
    <w:p>
      <w:pPr>
        <w:pStyle w:val="Heading2"/>
        <w:keepNext/>
      </w:pPr>
      <w:r>
        <w:t>Project ID</w:t>
      </w:r>
    </w:p>
    <w:p>
      <w:pPr>
        <w:pStyle w:val="ListBullet"/>
      </w:pPr>
      <w:r>
        <w:t>Enter the project value in the form project10436. The app creates question IDs such as project10436_q1 and uses the same project value in image filenames.</w:t>
      </w:r>
    </w:p>
    <w:p>
      <w:pPr>
        <w:pStyle w:val="ListBullet"/>
      </w:pPr>
      <w:r>
        <w:t>When CMS tag insertion is off and one consistent project ID already exists in Question id tags, that document project ID takes priority for image naming.</w:t>
      </w:r>
    </w:p>
    <w:p>
      <w:pPr>
        <w:pStyle w:val="ListBullet"/>
      </w:pPr>
      <w:r>
        <w:t>If existing Question id tags contain several project IDs, the app reports the conflict and uses the entered fallback project ID.</w:t>
      </w:r>
    </w:p>
    <w:p>
      <w:pPr>
        <w:pStyle w:val="Heading2"/>
        <w:keepNext/>
      </w:pPr>
      <w:r>
        <w:t>Question number</w:t>
      </w:r>
    </w:p>
    <w:p>
      <w:pPr>
        <w:pStyle w:val="ListBullet"/>
      </w:pPr>
      <w:r>
        <w:t>First question number controls the number assigned to the first detected record; following records increase by one.</w:t>
      </w:r>
    </w:p>
    <w:p>
      <w:pPr>
        <w:pStyle w:val="ListBullet"/>
      </w:pPr>
      <w:r>
        <w:t>The source headings are audited before assignment. Duplicate, missing or descending source numbers are treated as numbering errors and block CMS-ready downloads.</w:t>
      </w:r>
    </w:p>
    <w:p>
      <w:pPr>
        <w:pStyle w:val="Heading2"/>
        <w:keepNext/>
      </w:pPr>
      <w:r>
        <w:t>Snippet ID</w:t>
      </w:r>
    </w:p>
    <w:p>
      <w:pPr>
        <w:pStyle w:val="ListBullet"/>
      </w:pPr>
      <w:r>
        <w:t>If every question already contains a positive New snippet id: or Snippet id:, leave First snippet ID blank. Existing IDs are preserved by default.</w:t>
      </w:r>
    </w:p>
    <w:p>
      <w:pPr>
        <w:pStyle w:val="ListBullet"/>
      </w:pPr>
      <w:r>
        <w:t>Enter First snippet ID when any question has no snippet ID. Generated IDs increase by one in question order.</w:t>
      </w:r>
    </w:p>
    <w:p>
      <w:pPr>
        <w:pStyle w:val="ListBullet"/>
      </w:pPr>
      <w:r>
        <w:t>Select Replace existing question and snippet IDs only when the existing sequence must deliberately be regenerated. A positive First snippet ID is then mandatory.</w:t>
      </w:r>
    </w:p>
    <w:p>
      <w:pPr>
        <w:pStyle w:val="ListBullet"/>
      </w:pPr>
      <w:r>
        <w:t>Snippet id: is accepted as an input alias and is written as the canonical @New snippet id: … @ tag in the processed output.</w:t>
      </w:r>
    </w:p>
    <w:p>
      <w:pPr>
        <w:pStyle w:val="Heading2"/>
        <w:keepNext/>
      </w:pPr>
      <w:r>
        <w:t>Metadata defaults</w:t>
      </w:r>
    </w:p>
    <w:p>
      <w:r>
        <w:t>The Question type, Difficulty and Objective controls inside the settings expander are fallbacks for missing metadata. Explicit valid metadata in the document is used when replacement is not required.</w:t>
      </w:r>
    </w:p>
    <w:p>
      <w:r>
        <w:br w:type="page"/>
      </w:r>
    </w:p>
    <w:p>
      <w:pPr>
        <w:pStyle w:val="Heading1"/>
        <w:keepNext/>
      </w:pPr>
      <w:r>
        <w:t>4. CMS structure produced by the app</w:t>
      </w:r>
    </w:p>
    <w:p>
      <w:r>
        <w:t>A clear plain-text MCQ is converted to the following structure. Metadata and section tag paragraphs are bold in Word; choice markers, @correct answer@ and @e@ remain ordinary text.</w:t>
      </w:r>
    </w:p>
    <w:p>
      <w:pPr>
        <w:pStyle w:val="TemplateText"/>
        <w:keepLines/>
      </w:pPr>
      <w:r>
        <w:t>@Question: 1@</w:t>
        <w:br/>
        <w:t>@Type: MCQ@</w:t>
        <w:br/>
        <w:t>@Question id: project10436_q1 @</w:t>
        <w:br/>
        <w:t>@New snippet id: 218989 @</w:t>
        <w:br/>
        <w:t>@Difficulty level: Easy @</w:t>
        <w:br/>
        <w:t>@Objective: Comprehension @</w:t>
        <w:br/>
        <w:t>@Question:@</w:t>
        <w:br/>
        <w:t>Write the question stem here.</w:t>
        <w:br/>
        <w:t>@e@</w:t>
        <w:br/>
        <w:t>@Choices:@</w:t>
        <w:br/>
        <w:t>@1@ First choice</w:t>
        <w:br/>
        <w:t>@2@ Second choice @correct answer@</w:t>
        <w:br/>
        <w:t>@3@ Third choice</w:t>
        <w:br/>
        <w:t>@4@ Fourth choice</w:t>
        <w:br/>
        <w:t>@e@</w:t>
        <w:br/>
        <w:t>@Solution:@</w:t>
        <w:br/>
        <w:t>Write the supplied solution here.</w:t>
        <w:br/>
        <w:t>@e@</w:t>
      </w:r>
    </w:p>
    <w:p>
      <w:r>
        <w:t>A clear FIB uses @Answers:@ in place of @Choices:@. The supplied answer is placed below @Answers:@ and each section receives its closing @e@ marker. Labelled answers may use (a), (b), … or (i), (ii), … and may be separated by paragraph breaks or manual line breaks. The app moves only an unambiguous labelled block; an unclear answer boundary is preserved and reported.</w:t>
      </w:r>
    </w:p>
    <w:p>
      <w:pPr>
        <w:pStyle w:val="Heading2"/>
        <w:keepNext/>
      </w:pPr>
      <w:r>
        <w:t>MCQ and FIB correction rules</w:t>
      </w:r>
    </w:p>
    <w:p>
      <w:pPr>
        <w:pStyle w:val="ListBullet"/>
      </w:pPr>
      <w:r>
        <w:t>Four identifiable choices plus one unambiguous answer key are required before a plain question is structured as an MCQ.</w:t>
      </w:r>
    </w:p>
    <w:p>
      <w:pPr>
        <w:pStyle w:val="ListBullet"/>
      </w:pPr>
      <w:r>
        <w:t>A clear single answer without choices is structured as an FIB.</w:t>
      </w:r>
    </w:p>
    <w:p>
      <w:pPr>
        <w:pStyle w:val="ListBullet"/>
      </w:pPr>
      <w:r>
        <w:t>When tag insertion is selected, a tagged Type mismatch is corrected only when the Answers/Choices structure proves the intended type.</w:t>
      </w:r>
    </w:p>
    <w:p>
      <w:pPr>
        <w:pStyle w:val="ListBullet"/>
      </w:pPr>
      <w:r>
        <w:t>Both Choices and Answers in one record, incomplete choices, conflicting answer labels/text or multiple answer markers are preserved and reported for review.</w:t>
      </w:r>
    </w:p>
    <w:p>
      <w:pPr>
        <w:pStyle w:val="ListBullet"/>
      </w:pPr>
      <w:r>
        <w:t>When tag insertion is not selected, a suspected Type mismatch is reported but preserved.</w:t>
      </w:r>
    </w:p>
    <w:p>
      <w:pPr>
        <w:pStyle w:val="ListBullet"/>
      </w:pPr>
      <w:r>
        <w:t>The app never creates explanatory solution sentences such as ‘The correct answer is option b’ or ‘The answer is 17 cm.’ If no solution was supplied, the output contains only @Solution:@ followed by @e@.</w:t>
      </w:r>
    </w:p>
    <w:p>
      <w:pPr>
        <w:pStyle w:val="Heading2"/>
        <w:keepNext/>
      </w:pPr>
      <w:r>
        <w:t>Question boundaries and retained notes</w:t>
      </w:r>
    </w:p>
    <w:p>
      <w:pPr>
        <w:pStyle w:val="ListBullet"/>
      </w:pPr>
      <w:r>
        <w:t>Accepted plain headings include Question 1, Question: 1, Question 1:, Q1, Q. 1, Question 20, Case study, Question 20 – Case study, Question 37, Assertion Reasoning and Question 44: Easy, Comprehension. Capitalisation and harmless spaces may vary.</w:t>
      </w:r>
    </w:p>
    <w:p>
      <w:pPr>
        <w:pStyle w:val="ListBullet"/>
      </w:pPr>
      <w:r>
        <w:t>Accepted tagged headings include @Question: 10@ and harmless spaces such as @Question:10 @.</w:t>
      </w:r>
    </w:p>
    <w:p>
      <w:pPr>
        <w:pStyle w:val="ListBullet"/>
      </w:pPr>
      <w:r>
        <w:t>A same-line descriptive suffix such as Case study or Assertion–Reasoning is retained after the generated tag, for example @Question: 10@ Case study. Harmless punctuation around the number is normalised.</w:t>
      </w:r>
    </w:p>
    <w:p>
      <w:pPr>
        <w:pStyle w:val="ListBullet"/>
      </w:pPr>
      <w:r>
        <w:t>A heading and following metadata joined with Shift+Enter are separated only when the paragraph has a clear supported structure. The same conservative handling applies to metadata, labelled FIB answers and compound MCQ choices. Paragraphs containing equations, images or unclear structural boundaries are not rebuilt as plain text; ambiguous cases are preserved and reported. Ordinary references such as ‘Refer to Question 20’ and ‘In Question 15’ are not treated as new headings. Do not place an unrelated heading between questions unless it belongs to the preceding question.</w:t>
      </w:r>
    </w:p>
    <w:p>
      <w:pPr>
        <w:pStyle w:val="Heading1"/>
        <w:keepNext/>
      </w:pPr>
      <w:r>
        <w:t>5. Text and document formatting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656"/>
            <w:shd w:fill="17365D"/>
            <w:tcMar>
              <w:top w:w="100" w:type="dxa"/>
              <w:start w:w="110" w:type="dxa"/>
              <w:bottom w:w="100" w:type="dxa"/>
              <w:end w:w="110" w:type="dxa"/>
            </w:tcMar>
            <w:vAlign w:val="center"/>
          </w:tcPr>
          <w:p>
            <w:pPr>
              <w:jc w:val="center"/>
            </w:pPr>
            <w:r>
              <w:rPr>
                <w:b/>
                <w:color w:val="FFFFFF"/>
                <w:sz w:val="18"/>
              </w:rPr>
              <w:t>Area</w:t>
            </w:r>
          </w:p>
        </w:tc>
        <w:tc>
          <w:tcPr>
            <w:tcW w:type="dxa" w:w="8712"/>
            <w:shd w:fill="17365D"/>
            <w:tcMar>
              <w:top w:w="100" w:type="dxa"/>
              <w:start w:w="110" w:type="dxa"/>
              <w:bottom w:w="100" w:type="dxa"/>
              <w:end w:w="110" w:type="dxa"/>
            </w:tcMar>
            <w:vAlign w:val="center"/>
          </w:tcPr>
          <w:p>
            <w:pPr>
              <w:jc w:val="center"/>
            </w:pPr>
            <w:r>
              <w:rPr>
                <w:b/>
                <w:color w:val="FFFFFF"/>
                <w:sz w:val="18"/>
              </w:rPr>
              <w:t>Current behaviour</w:t>
            </w:r>
          </w:p>
        </w:tc>
      </w:tr>
      <w:tr>
        <w:trPr>
          <w:cantSplit w:val="true"/>
        </w:trPr>
        <w:tc>
          <w:tcPr>
            <w:tcW w:type="dxa" w:w="1656"/>
            <w:tcMar>
              <w:top w:w="100" w:type="dxa"/>
              <w:start w:w="110" w:type="dxa"/>
              <w:bottom w:w="100" w:type="dxa"/>
              <w:end w:w="110" w:type="dxa"/>
            </w:tcMar>
            <w:vAlign w:val="center"/>
          </w:tcPr>
          <w:p>
            <w:pPr>
              <w:spacing w:after="0"/>
            </w:pPr>
            <w:r>
              <w:rPr>
                <w:sz w:val="17"/>
              </w:rPr>
              <w:t>Spaces</w:t>
            </w:r>
          </w:p>
        </w:tc>
        <w:tc>
          <w:tcPr>
            <w:tcW w:type="dxa" w:w="8712"/>
            <w:tcMar>
              <w:top w:w="100" w:type="dxa"/>
              <w:start w:w="110" w:type="dxa"/>
              <w:bottom w:w="100" w:type="dxa"/>
              <w:end w:w="110" w:type="dxa"/>
            </w:tcMar>
            <w:vAlign w:val="center"/>
          </w:tcPr>
          <w:p>
            <w:pPr>
              <w:spacing w:after="0"/>
            </w:pPr>
            <w:r>
              <w:rPr>
                <w:sz w:val="17"/>
              </w:rPr>
              <w:t>Replaces non-breaking spaces, collapses repeated spaces across adjacent runs, retains one space at prose/math boundaries and removes spaces before punctuation.</w:t>
            </w:r>
          </w:p>
        </w:tc>
      </w:tr>
      <w:tr>
        <w:trPr>
          <w:cantSplit w:val="true"/>
        </w:trPr>
        <w:tc>
          <w:tcPr>
            <w:tcW w:type="dxa" w:w="1656"/>
            <w:shd w:fill="EEF5FB"/>
            <w:tcMar>
              <w:top w:w="100" w:type="dxa"/>
              <w:start w:w="110" w:type="dxa"/>
              <w:bottom w:w="100" w:type="dxa"/>
              <w:end w:w="110" w:type="dxa"/>
            </w:tcMar>
            <w:vAlign w:val="center"/>
          </w:tcPr>
          <w:p>
            <w:pPr>
              <w:spacing w:after="0"/>
            </w:pPr>
            <w:r>
              <w:rPr>
                <w:sz w:val="17"/>
              </w:rPr>
              <w:t>Operators</w:t>
            </w:r>
          </w:p>
        </w:tc>
        <w:tc>
          <w:tcPr>
            <w:tcW w:type="dxa" w:w="8712"/>
            <w:shd w:fill="EEF5FB"/>
            <w:tcMar>
              <w:top w:w="100" w:type="dxa"/>
              <w:start w:w="110" w:type="dxa"/>
              <w:bottom w:w="100" w:type="dxa"/>
              <w:end w:w="110" w:type="dxa"/>
            </w:tcMar>
            <w:vAlign w:val="center"/>
          </w:tcPr>
          <w:p>
            <w:pPr>
              <w:spacing w:after="0"/>
            </w:pPr>
            <w:r>
              <w:rPr>
                <w:sz w:val="17"/>
              </w:rPr>
              <w:t>Normalises spaces before and after =, +, −, × and ÷ when text normalisation is selected.</w:t>
            </w:r>
          </w:p>
        </w:tc>
      </w:tr>
      <w:tr>
        <w:trPr>
          <w:cantSplit w:val="true"/>
        </w:trPr>
        <w:tc>
          <w:tcPr>
            <w:tcW w:type="dxa" w:w="1656"/>
            <w:tcMar>
              <w:top w:w="100" w:type="dxa"/>
              <w:start w:w="110" w:type="dxa"/>
              <w:bottom w:w="100" w:type="dxa"/>
              <w:end w:w="110" w:type="dxa"/>
            </w:tcMar>
            <w:vAlign w:val="center"/>
          </w:tcPr>
          <w:p>
            <w:pPr>
              <w:spacing w:after="0"/>
            </w:pPr>
            <w:r>
              <w:rPr>
                <w:sz w:val="17"/>
              </w:rPr>
              <w:t>Commas</w:t>
            </w:r>
          </w:p>
        </w:tc>
        <w:tc>
          <w:tcPr>
            <w:tcW w:type="dxa" w:w="8712"/>
            <w:tcMar>
              <w:top w:w="100" w:type="dxa"/>
              <w:start w:w="110" w:type="dxa"/>
              <w:bottom w:w="100" w:type="dxa"/>
              <w:end w:w="110" w:type="dxa"/>
            </w:tcMar>
            <w:vAlign w:val="center"/>
          </w:tcPr>
          <w:p>
            <w:pPr>
              <w:spacing w:after="0"/>
            </w:pPr>
            <w:r>
              <w:rPr>
                <w:sz w:val="17"/>
              </w:rPr>
              <w:t>Ensures a space after commas where appropriate.</w:t>
            </w:r>
          </w:p>
        </w:tc>
      </w:tr>
      <w:tr>
        <w:trPr>
          <w:cantSplit w:val="true"/>
        </w:trPr>
        <w:tc>
          <w:tcPr>
            <w:tcW w:type="dxa" w:w="1656"/>
            <w:shd w:fill="EEF5FB"/>
            <w:tcMar>
              <w:top w:w="100" w:type="dxa"/>
              <w:start w:w="110" w:type="dxa"/>
              <w:bottom w:w="100" w:type="dxa"/>
              <w:end w:w="110" w:type="dxa"/>
            </w:tcMar>
            <w:vAlign w:val="center"/>
          </w:tcPr>
          <w:p>
            <w:pPr>
              <w:spacing w:after="0"/>
            </w:pPr>
            <w:r>
              <w:rPr>
                <w:sz w:val="17"/>
              </w:rPr>
              <w:t>Rupees</w:t>
            </w:r>
          </w:p>
        </w:tc>
        <w:tc>
          <w:tcPr>
            <w:tcW w:type="dxa" w:w="8712"/>
            <w:shd w:fill="EEF5FB"/>
            <w:tcMar>
              <w:top w:w="100" w:type="dxa"/>
              <w:start w:w="110" w:type="dxa"/>
              <w:bottom w:w="100" w:type="dxa"/>
              <w:end w:w="110" w:type="dxa"/>
            </w:tcMar>
            <w:vAlign w:val="center"/>
          </w:tcPr>
          <w:p>
            <w:pPr>
              <w:spacing w:after="0"/>
            </w:pPr>
            <w:r>
              <w:rPr>
                <w:sz w:val="17"/>
              </w:rPr>
              <w:t>Converts ₹50, ₹ 50 and ₹1,250.50 to Rs 50, Rs 50 and Rs 1,250.50.</w:t>
            </w:r>
          </w:p>
        </w:tc>
      </w:tr>
      <w:tr>
        <w:trPr>
          <w:cantSplit w:val="true"/>
        </w:trPr>
        <w:tc>
          <w:tcPr>
            <w:tcW w:type="dxa" w:w="1656"/>
            <w:tcMar>
              <w:top w:w="100" w:type="dxa"/>
              <w:start w:w="110" w:type="dxa"/>
              <w:bottom w:w="100" w:type="dxa"/>
              <w:end w:w="110" w:type="dxa"/>
            </w:tcMar>
            <w:vAlign w:val="center"/>
          </w:tcPr>
          <w:p>
            <w:pPr>
              <w:spacing w:after="0"/>
            </w:pPr>
            <w:r>
              <w:rPr>
                <w:sz w:val="17"/>
              </w:rPr>
              <w:t>Bold</w:t>
            </w:r>
          </w:p>
        </w:tc>
        <w:tc>
          <w:tcPr>
            <w:tcW w:type="dxa" w:w="8712"/>
            <w:tcMar>
              <w:top w:w="100" w:type="dxa"/>
              <w:start w:w="110" w:type="dxa"/>
              <w:bottom w:w="100" w:type="dxa"/>
              <w:end w:w="110" w:type="dxa"/>
            </w:tcMar>
            <w:vAlign w:val="center"/>
          </w:tcPr>
          <w:p>
            <w:pPr>
              <w:spacing w:after="0"/>
            </w:pPr>
            <w:r>
              <w:rPr>
                <w:sz w:val="17"/>
              </w:rPr>
              <w:t>Removes bold when an entire Question, Choices or Solution block is bold. Selective author emphasis is preserved.</w:t>
            </w:r>
          </w:p>
        </w:tc>
      </w:tr>
      <w:tr>
        <w:trPr>
          <w:cantSplit w:val="true"/>
        </w:trPr>
        <w:tc>
          <w:tcPr>
            <w:tcW w:type="dxa" w:w="1656"/>
            <w:shd w:fill="EEF5FB"/>
            <w:tcMar>
              <w:top w:w="100" w:type="dxa"/>
              <w:start w:w="110" w:type="dxa"/>
              <w:bottom w:w="100" w:type="dxa"/>
              <w:end w:w="110" w:type="dxa"/>
            </w:tcMar>
            <w:vAlign w:val="center"/>
          </w:tcPr>
          <w:p>
            <w:pPr>
              <w:spacing w:after="0"/>
            </w:pPr>
            <w:r>
              <w:rPr>
                <w:sz w:val="17"/>
              </w:rPr>
              <w:t>Answers</w:t>
            </w:r>
          </w:p>
        </w:tc>
        <w:tc>
          <w:tcPr>
            <w:tcW w:type="dxa" w:w="8712"/>
            <w:shd w:fill="EEF5FB"/>
            <w:tcMar>
              <w:top w:w="100" w:type="dxa"/>
              <w:start w:w="110" w:type="dxa"/>
              <w:bottom w:w="100" w:type="dxa"/>
              <w:end w:w="110" w:type="dxa"/>
            </w:tcMar>
            <w:vAlign w:val="center"/>
          </w:tcPr>
          <w:p>
            <w:pPr>
              <w:spacing w:after="0"/>
            </w:pPr>
            <w:r>
              <w:rPr>
                <w:sz w:val="17"/>
              </w:rPr>
              <w:t>Places safely identifiable labelled answers on separate lines. Complex answers containing objects/equations are preserved for review.</w:t>
            </w:r>
          </w:p>
        </w:tc>
      </w:tr>
      <w:tr>
        <w:trPr>
          <w:cantSplit w:val="true"/>
        </w:trPr>
        <w:tc>
          <w:tcPr>
            <w:tcW w:type="dxa" w:w="1656"/>
            <w:tcMar>
              <w:top w:w="100" w:type="dxa"/>
              <w:start w:w="110" w:type="dxa"/>
              <w:bottom w:w="100" w:type="dxa"/>
              <w:end w:w="110" w:type="dxa"/>
            </w:tcMar>
            <w:vAlign w:val="center"/>
          </w:tcPr>
          <w:p>
            <w:pPr>
              <w:spacing w:after="0"/>
            </w:pPr>
            <w:r>
              <w:rPr>
                <w:sz w:val="17"/>
              </w:rPr>
              <w:t>Subparts</w:t>
            </w:r>
          </w:p>
        </w:tc>
        <w:tc>
          <w:tcPr>
            <w:tcW w:type="dxa" w:w="8712"/>
            <w:tcMar>
              <w:top w:w="100" w:type="dxa"/>
              <w:start w:w="110" w:type="dxa"/>
              <w:bottom w:w="100" w:type="dxa"/>
              <w:end w:w="110" w:type="dxa"/>
            </w:tcMar>
            <w:vAlign w:val="center"/>
          </w:tcPr>
          <w:p>
            <w:pPr>
              <w:spacing w:after="0"/>
            </w:pPr>
            <w:r>
              <w:rPr>
                <w:sz w:val="17"/>
              </w:rPr>
              <w:t>Top-level subparts use (a), (b), … and nested subparts use (i), (ii), …. Mixed visible levels are reported rather than guessed.</w:t>
            </w:r>
          </w:p>
        </w:tc>
      </w:tr>
      <w:tr>
        <w:trPr>
          <w:cantSplit w:val="true"/>
        </w:trPr>
        <w:tc>
          <w:tcPr>
            <w:tcW w:type="dxa" w:w="1656"/>
            <w:shd w:fill="EEF5FB"/>
            <w:tcMar>
              <w:top w:w="100" w:type="dxa"/>
              <w:start w:w="110" w:type="dxa"/>
              <w:bottom w:w="100" w:type="dxa"/>
              <w:end w:w="110" w:type="dxa"/>
            </w:tcMar>
            <w:vAlign w:val="center"/>
          </w:tcPr>
          <w:p>
            <w:pPr>
              <w:spacing w:after="0"/>
            </w:pPr>
            <w:r>
              <w:rPr>
                <w:sz w:val="17"/>
              </w:rPr>
              <w:t>Tables</w:t>
            </w:r>
          </w:p>
        </w:tc>
        <w:tc>
          <w:tcPr>
            <w:tcW w:type="dxa" w:w="8712"/>
            <w:shd w:fill="EEF5FB"/>
            <w:tcMar>
              <w:top w:w="100" w:type="dxa"/>
              <w:start w:w="110" w:type="dxa"/>
              <w:bottom w:w="100" w:type="dxa"/>
              <w:end w:w="110" w:type="dxa"/>
            </w:tcMar>
            <w:vAlign w:val="center"/>
          </w:tcPr>
          <w:p>
            <w:pPr>
              <w:spacing w:after="0"/>
            </w:pPr>
            <w:r>
              <w:rPr>
                <w:sz w:val="17"/>
              </w:rPr>
              <w:t>Preserves table formatting and places the Question block's closing @e@ after a trailing table. The app does not decide which rows or columns are headers; the author must bold genuine headers.</w:t>
            </w:r>
          </w:p>
        </w:tc>
      </w:tr>
    </w:tbl>
    <w:p>
      <w:pPr>
        <w:spacing w:after="0"/>
      </w:pPr>
    </w:p>
    <w:p>
      <w:pPr>
        <w:pStyle w:val="Heading1"/>
        <w:keepNext/>
      </w:pPr>
      <w:r>
        <w:t>6. Mathematical formatting</w:t>
      </w:r>
    </w:p>
    <w:p>
      <w:r>
        <w:t>The app uses Word’s native equation format for notation that needs a structured fraction, radical or explicit mathematical expression. It does not force every equation into Equation Editor. A correctly spaced ordinary-text equation may remain ordinary text when variables are italicised correctly.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160"/>
            <w:shd w:fill="17365D"/>
            <w:tcMar>
              <w:top w:w="100" w:type="dxa"/>
              <w:start w:w="110" w:type="dxa"/>
              <w:bottom w:w="100" w:type="dxa"/>
              <w:end w:w="110" w:type="dxa"/>
            </w:tcMar>
            <w:vAlign w:val="center"/>
          </w:tcPr>
          <w:p>
            <w:pPr>
              <w:jc w:val="center"/>
            </w:pPr>
            <w:r>
              <w:rPr>
                <w:b/>
                <w:color w:val="FFFFFF"/>
                <w:sz w:val="18"/>
              </w:rPr>
              <w:t>Author input</w:t>
            </w:r>
          </w:p>
        </w:tc>
        <w:tc>
          <w:tcPr>
            <w:tcW w:type="dxa" w:w="3744"/>
            <w:shd w:fill="17365D"/>
            <w:tcMar>
              <w:top w:w="100" w:type="dxa"/>
              <w:start w:w="110" w:type="dxa"/>
              <w:bottom w:w="100" w:type="dxa"/>
              <w:end w:w="110" w:type="dxa"/>
            </w:tcMar>
            <w:vAlign w:val="center"/>
          </w:tcPr>
          <w:p>
            <w:pPr>
              <w:jc w:val="center"/>
            </w:pPr>
            <w:r>
              <w:rPr>
                <w:b/>
                <w:color w:val="FFFFFF"/>
                <w:sz w:val="18"/>
              </w:rPr>
              <w:t>App action</w:t>
            </w:r>
          </w:p>
        </w:tc>
        <w:tc>
          <w:tcPr>
            <w:tcW w:type="dxa" w:w="4464"/>
            <w:shd w:fill="17365D"/>
            <w:tcMar>
              <w:top w:w="100" w:type="dxa"/>
              <w:start w:w="110" w:type="dxa"/>
              <w:bottom w:w="100" w:type="dxa"/>
              <w:end w:w="110" w:type="dxa"/>
            </w:tcMar>
            <w:vAlign w:val="center"/>
          </w:tcPr>
          <w:p>
            <w:pPr>
              <w:jc w:val="center"/>
            </w:pPr>
            <w:r>
              <w:rPr>
                <w:b/>
                <w:color w:val="FFFFFF"/>
                <w:sz w:val="18"/>
              </w:rPr>
              <w:t>Reason or author instruction</w:t>
            </w:r>
          </w:p>
        </w:tc>
      </w:tr>
      <w:tr>
        <w:trPr>
          <w:cantSplit w:val="true"/>
        </w:trPr>
        <w:tc>
          <w:tcPr>
            <w:tcW w:type="dxa" w:w="2160"/>
            <w:tcMar>
              <w:top w:w="100" w:type="dxa"/>
              <w:start w:w="110" w:type="dxa"/>
              <w:bottom w:w="100" w:type="dxa"/>
              <w:end w:w="110" w:type="dxa"/>
            </w:tcMar>
            <w:vAlign w:val="center"/>
          </w:tcPr>
          <w:p>
            <w:pPr>
              <w:spacing w:after="0"/>
            </w:pPr>
            <w:r>
              <w:rPr>
                <w:sz w:val="17"/>
              </w:rPr>
              <w:t>1/4 litres</w:t>
            </w:r>
          </w:p>
        </w:tc>
        <w:tc>
          <w:tcPr>
            <w:tcW w:type="dxa" w:w="3744"/>
            <w:tcMar>
              <w:top w:w="100" w:type="dxa"/>
              <w:start w:w="110" w:type="dxa"/>
              <w:bottom w:w="100" w:type="dxa"/>
              <w:end w:w="110" w:type="dxa"/>
            </w:tcMar>
            <w:vAlign w:val="center"/>
          </w:tcPr>
          <w:p>
            <w:pPr>
              <w:spacing w:after="0"/>
            </w:pPr>
            <w:r>
              <w:rPr>
                <w:sz w:val="17"/>
              </w:rPr>
              <w:t>Converts 1/4 to a native stacked fraction and retains visible spaces before and after the equation.</w:t>
            </w:r>
          </w:p>
        </w:tc>
        <w:tc>
          <w:tcPr>
            <w:tcW w:type="dxa" w:w="4464"/>
            <w:tcMar>
              <w:top w:w="100" w:type="dxa"/>
              <w:start w:w="110" w:type="dxa"/>
              <w:bottom w:w="100" w:type="dxa"/>
              <w:end w:w="110" w:type="dxa"/>
            </w:tcMar>
            <w:vAlign w:val="center"/>
          </w:tcPr>
          <w:p>
            <w:pPr>
              <w:spacing w:after="0"/>
            </w:pPr>
            <w:r>
              <w:rPr>
                <w:sz w:val="17"/>
              </w:rPr>
              <w:t>The space after 4 ends the denominator.</w:t>
            </w:r>
          </w:p>
        </w:tc>
      </w:tr>
      <w:tr>
        <w:trPr>
          <w:cantSplit w:val="true"/>
        </w:trPr>
        <w:tc>
          <w:tcPr>
            <w:tcW w:type="dxa" w:w="2160"/>
            <w:shd w:fill="EEF5FB"/>
            <w:tcMar>
              <w:top w:w="100" w:type="dxa"/>
              <w:start w:w="110" w:type="dxa"/>
              <w:bottom w:w="100" w:type="dxa"/>
              <w:end w:w="110" w:type="dxa"/>
            </w:tcMar>
            <w:vAlign w:val="center"/>
          </w:tcPr>
          <w:p>
            <w:pPr>
              <w:spacing w:after="0"/>
            </w:pPr>
            <w:r>
              <w:rPr>
                <w:sz w:val="17"/>
              </w:rPr>
              <w:t>7/12 litres</w:t>
            </w:r>
          </w:p>
        </w:tc>
        <w:tc>
          <w:tcPr>
            <w:tcW w:type="dxa" w:w="3744"/>
            <w:shd w:fill="EEF5FB"/>
            <w:tcMar>
              <w:top w:w="100" w:type="dxa"/>
              <w:start w:w="110" w:type="dxa"/>
              <w:bottom w:w="100" w:type="dxa"/>
              <w:end w:w="110" w:type="dxa"/>
            </w:tcMar>
            <w:vAlign w:val="center"/>
          </w:tcPr>
          <w:p>
            <w:pPr>
              <w:spacing w:after="0"/>
            </w:pPr>
            <w:r>
              <w:rPr>
                <w:sz w:val="17"/>
              </w:rPr>
              <w:t>Converts 7/12 to a native stacked fraction.</w:t>
            </w:r>
          </w:p>
        </w:tc>
        <w:tc>
          <w:tcPr>
            <w:tcW w:type="dxa" w:w="4464"/>
            <w:shd w:fill="EEF5FB"/>
            <w:tcMar>
              <w:top w:w="100" w:type="dxa"/>
              <w:start w:w="110" w:type="dxa"/>
              <w:bottom w:w="100" w:type="dxa"/>
              <w:end w:w="110" w:type="dxa"/>
            </w:tcMar>
            <w:vAlign w:val="center"/>
          </w:tcPr>
          <w:p>
            <w:pPr>
              <w:spacing w:after="0"/>
            </w:pPr>
            <w:r>
              <w:rPr>
                <w:sz w:val="17"/>
              </w:rPr>
              <w:t>Simple numerator and denominator are clear.</w:t>
            </w:r>
          </w:p>
        </w:tc>
      </w:tr>
      <w:tr>
        <w:trPr>
          <w:cantSplit w:val="true"/>
        </w:trPr>
        <w:tc>
          <w:tcPr>
            <w:tcW w:type="dxa" w:w="2160"/>
            <w:tcMar>
              <w:top w:w="100" w:type="dxa"/>
              <w:start w:w="110" w:type="dxa"/>
              <w:bottom w:w="100" w:type="dxa"/>
              <w:end w:w="110" w:type="dxa"/>
            </w:tcMar>
            <w:vAlign w:val="center"/>
          </w:tcPr>
          <w:p>
            <w:pPr>
              <w:spacing w:after="0"/>
            </w:pPr>
            <w:r>
              <w:rPr>
                <w:sz w:val="17"/>
              </w:rPr>
              <w:t>(1/2)r</w:t>
            </w:r>
          </w:p>
        </w:tc>
        <w:tc>
          <w:tcPr>
            <w:tcW w:type="dxa" w:w="3744"/>
            <w:tcMar>
              <w:top w:w="100" w:type="dxa"/>
              <w:start w:w="110" w:type="dxa"/>
              <w:bottom w:w="100" w:type="dxa"/>
              <w:end w:w="110" w:type="dxa"/>
            </w:tcMar>
            <w:vAlign w:val="center"/>
          </w:tcPr>
          <w:p>
            <w:pPr>
              <w:spacing w:after="0"/>
            </w:pPr>
            <w:r>
              <w:rPr>
                <w:sz w:val="17"/>
              </w:rPr>
              <w:t>Treats the bracketed fraction as one intended quantity followed by r when the expression can be parsed safely.</w:t>
            </w:r>
          </w:p>
        </w:tc>
        <w:tc>
          <w:tcPr>
            <w:tcW w:type="dxa" w:w="4464"/>
            <w:tcMar>
              <w:top w:w="100" w:type="dxa"/>
              <w:start w:w="110" w:type="dxa"/>
              <w:bottom w:w="100" w:type="dxa"/>
              <w:end w:w="110" w:type="dxa"/>
            </w:tcMar>
            <w:vAlign w:val="center"/>
          </w:tcPr>
          <w:p>
            <w:pPr>
              <w:spacing w:after="0"/>
            </w:pPr>
            <w:r>
              <w:rPr>
                <w:sz w:val="17"/>
              </w:rPr>
              <w:t>Brackets establish scope.</w:t>
            </w:r>
          </w:p>
        </w:tc>
      </w:tr>
      <w:tr>
        <w:trPr>
          <w:cantSplit w:val="true"/>
        </w:trPr>
        <w:tc>
          <w:tcPr>
            <w:tcW w:type="dxa" w:w="2160"/>
            <w:shd w:fill="EEF5FB"/>
            <w:tcMar>
              <w:top w:w="100" w:type="dxa"/>
              <w:start w:w="110" w:type="dxa"/>
              <w:bottom w:w="100" w:type="dxa"/>
              <w:end w:w="110" w:type="dxa"/>
            </w:tcMar>
            <w:vAlign w:val="center"/>
          </w:tcPr>
          <w:p>
            <w:pPr>
              <w:spacing w:after="0"/>
            </w:pPr>
            <w:r>
              <w:rPr>
                <w:sz w:val="17"/>
              </w:rPr>
              <w:t>1/(2r)</w:t>
            </w:r>
          </w:p>
        </w:tc>
        <w:tc>
          <w:tcPr>
            <w:tcW w:type="dxa" w:w="3744"/>
            <w:shd w:fill="EEF5FB"/>
            <w:tcMar>
              <w:top w:w="100" w:type="dxa"/>
              <w:start w:w="110" w:type="dxa"/>
              <w:bottom w:w="100" w:type="dxa"/>
              <w:end w:w="110" w:type="dxa"/>
            </w:tcMar>
            <w:vAlign w:val="center"/>
          </w:tcPr>
          <w:p>
            <w:pPr>
              <w:spacing w:after="0"/>
            </w:pPr>
            <w:r>
              <w:rPr>
                <w:sz w:val="17"/>
              </w:rPr>
              <w:t>Treats 2r as the denominator when the expression can be parsed safely.</w:t>
            </w:r>
          </w:p>
        </w:tc>
        <w:tc>
          <w:tcPr>
            <w:tcW w:type="dxa" w:w="4464"/>
            <w:shd w:fill="EEF5FB"/>
            <w:tcMar>
              <w:top w:w="100" w:type="dxa"/>
              <w:start w:w="110" w:type="dxa"/>
              <w:bottom w:w="100" w:type="dxa"/>
              <w:end w:w="110" w:type="dxa"/>
            </w:tcMar>
            <w:vAlign w:val="center"/>
          </w:tcPr>
          <w:p>
            <w:pPr>
              <w:spacing w:after="0"/>
            </w:pPr>
            <w:r>
              <w:rPr>
                <w:sz w:val="17"/>
              </w:rPr>
              <w:t>The complete denominator is bracketed.</w:t>
            </w:r>
          </w:p>
        </w:tc>
      </w:tr>
      <w:tr>
        <w:trPr>
          <w:cantSplit w:val="true"/>
        </w:trPr>
        <w:tc>
          <w:tcPr>
            <w:tcW w:type="dxa" w:w="2160"/>
            <w:tcMar>
              <w:top w:w="100" w:type="dxa"/>
              <w:start w:w="110" w:type="dxa"/>
              <w:bottom w:w="100" w:type="dxa"/>
              <w:end w:w="110" w:type="dxa"/>
            </w:tcMar>
            <w:vAlign w:val="center"/>
          </w:tcPr>
          <w:p>
            <w:pPr>
              <w:spacing w:after="0"/>
            </w:pPr>
            <w:r>
              <w:rPr>
                <w:sz w:val="17"/>
              </w:rPr>
              <w:t>1/2r</w:t>
            </w:r>
          </w:p>
        </w:tc>
        <w:tc>
          <w:tcPr>
            <w:tcW w:type="dxa" w:w="3744"/>
            <w:tcMar>
              <w:top w:w="100" w:type="dxa"/>
              <w:start w:w="110" w:type="dxa"/>
              <w:bottom w:w="100" w:type="dxa"/>
              <w:end w:w="110" w:type="dxa"/>
            </w:tcMar>
            <w:vAlign w:val="center"/>
          </w:tcPr>
          <w:p>
            <w:pPr>
              <w:spacing w:after="0"/>
            </w:pPr>
            <w:r>
              <w:rPr>
                <w:sz w:val="17"/>
              </w:rPr>
              <w:t>Preserves and reports it as ambiguous.</w:t>
            </w:r>
          </w:p>
        </w:tc>
        <w:tc>
          <w:tcPr>
            <w:tcW w:type="dxa" w:w="4464"/>
            <w:tcMar>
              <w:top w:w="100" w:type="dxa"/>
              <w:start w:w="110" w:type="dxa"/>
              <w:bottom w:w="100" w:type="dxa"/>
              <w:end w:w="110" w:type="dxa"/>
            </w:tcMar>
            <w:vAlign w:val="center"/>
          </w:tcPr>
          <w:p>
            <w:pPr>
              <w:spacing w:after="0"/>
            </w:pPr>
            <w:r>
              <w:rPr>
                <w:sz w:val="17"/>
              </w:rPr>
              <w:t>It could mean 1/(2r) or (1/2)r. Add brackets or use Word Equation Editor.</w:t>
            </w:r>
          </w:p>
        </w:tc>
      </w:tr>
      <w:tr>
        <w:trPr>
          <w:cantSplit w:val="true"/>
        </w:trPr>
        <w:tc>
          <w:tcPr>
            <w:tcW w:type="dxa" w:w="2160"/>
            <w:shd w:fill="EEF5FB"/>
            <w:tcMar>
              <w:top w:w="100" w:type="dxa"/>
              <w:start w:w="110" w:type="dxa"/>
              <w:bottom w:w="100" w:type="dxa"/>
              <w:end w:w="110" w:type="dxa"/>
            </w:tcMar>
            <w:vAlign w:val="center"/>
          </w:tcPr>
          <w:p>
            <w:pPr>
              <w:spacing w:after="0"/>
            </w:pPr>
            <w:r>
              <w:rPr>
                <w:sz w:val="17"/>
              </w:rPr>
              <w:t>√144 or √25</w:t>
            </w:r>
          </w:p>
        </w:tc>
        <w:tc>
          <w:tcPr>
            <w:tcW w:type="dxa" w:w="3744"/>
            <w:shd w:fill="EEF5FB"/>
            <w:tcMar>
              <w:top w:w="100" w:type="dxa"/>
              <w:start w:w="110" w:type="dxa"/>
              <w:bottom w:w="100" w:type="dxa"/>
              <w:end w:w="110" w:type="dxa"/>
            </w:tcMar>
            <w:vAlign w:val="center"/>
          </w:tcPr>
          <w:p>
            <w:pPr>
              <w:spacing w:after="0"/>
            </w:pPr>
            <w:r>
              <w:rPr>
                <w:sz w:val="17"/>
              </w:rPr>
              <w:t>Converts the self-contained radical span to a native Word equation.</w:t>
            </w:r>
          </w:p>
        </w:tc>
        <w:tc>
          <w:tcPr>
            <w:tcW w:type="dxa" w:w="4464"/>
            <w:shd w:fill="EEF5FB"/>
            <w:tcMar>
              <w:top w:w="100" w:type="dxa"/>
              <w:start w:w="110" w:type="dxa"/>
              <w:bottom w:w="100" w:type="dxa"/>
              <w:end w:w="110" w:type="dxa"/>
            </w:tcMar>
            <w:vAlign w:val="center"/>
          </w:tcPr>
          <w:p>
            <w:pPr>
              <w:spacing w:after="0"/>
            </w:pPr>
            <w:r>
              <w:rPr>
                <w:sz w:val="17"/>
              </w:rPr>
              <w:t>The numeric radicand is clear.</w:t>
            </w:r>
          </w:p>
        </w:tc>
      </w:tr>
      <w:tr>
        <w:trPr>
          <w:cantSplit w:val="true"/>
        </w:trPr>
        <w:tc>
          <w:tcPr>
            <w:tcW w:type="dxa" w:w="2160"/>
            <w:tcMar>
              <w:top w:w="100" w:type="dxa"/>
              <w:start w:w="110" w:type="dxa"/>
              <w:bottom w:w="100" w:type="dxa"/>
              <w:end w:w="110" w:type="dxa"/>
            </w:tcMar>
            <w:vAlign w:val="center"/>
          </w:tcPr>
          <w:p>
            <w:pPr>
              <w:spacing w:after="0"/>
            </w:pPr>
            <w:r>
              <w:rPr>
                <w:sz w:val="17"/>
              </w:rPr>
              <w:t>x = √144</w:t>
            </w:r>
          </w:p>
        </w:tc>
        <w:tc>
          <w:tcPr>
            <w:tcW w:type="dxa" w:w="3744"/>
            <w:tcMar>
              <w:top w:w="100" w:type="dxa"/>
              <w:start w:w="110" w:type="dxa"/>
              <w:bottom w:w="100" w:type="dxa"/>
              <w:end w:w="110" w:type="dxa"/>
            </w:tcMar>
            <w:vAlign w:val="center"/>
          </w:tcPr>
          <w:p>
            <w:pPr>
              <w:spacing w:after="0"/>
            </w:pPr>
            <w:r>
              <w:rPr>
                <w:sz w:val="17"/>
              </w:rPr>
              <w:t>Converts the complete explicit expression to a native Word equation when stored as safely parseable text.</w:t>
            </w:r>
          </w:p>
        </w:tc>
        <w:tc>
          <w:tcPr>
            <w:tcW w:type="dxa" w:w="4464"/>
            <w:tcMar>
              <w:top w:w="100" w:type="dxa"/>
              <w:start w:w="110" w:type="dxa"/>
              <w:bottom w:w="100" w:type="dxa"/>
              <w:end w:w="110" w:type="dxa"/>
            </w:tcMar>
            <w:vAlign w:val="center"/>
          </w:tcPr>
          <w:p>
            <w:pPr>
              <w:spacing w:after="0"/>
            </w:pPr>
            <w:r>
              <w:rPr>
                <w:sz w:val="17"/>
              </w:rPr>
              <w:t>Assignment and radical scope are clear.</w:t>
            </w:r>
          </w:p>
        </w:tc>
      </w:tr>
      <w:tr>
        <w:trPr>
          <w:cantSplit w:val="true"/>
        </w:trPr>
        <w:tc>
          <w:tcPr>
            <w:tcW w:type="dxa" w:w="2160"/>
            <w:shd w:fill="EEF5FB"/>
            <w:tcMar>
              <w:top w:w="100" w:type="dxa"/>
              <w:start w:w="110" w:type="dxa"/>
              <w:bottom w:w="100" w:type="dxa"/>
              <w:end w:w="110" w:type="dxa"/>
            </w:tcMar>
            <w:vAlign w:val="center"/>
          </w:tcPr>
          <w:p>
            <w:pPr>
              <w:spacing w:after="0"/>
            </w:pPr>
            <w:r>
              <w:rPr>
                <w:sz w:val="17"/>
              </w:rPr>
              <w:t>√(r² + d²)</w:t>
            </w:r>
          </w:p>
        </w:tc>
        <w:tc>
          <w:tcPr>
            <w:tcW w:type="dxa" w:w="3744"/>
            <w:shd w:fill="EEF5FB"/>
            <w:tcMar>
              <w:top w:w="100" w:type="dxa"/>
              <w:start w:w="110" w:type="dxa"/>
              <w:bottom w:w="100" w:type="dxa"/>
              <w:end w:w="110" w:type="dxa"/>
            </w:tcMar>
            <w:vAlign w:val="center"/>
          </w:tcPr>
          <w:p>
            <w:pPr>
              <w:spacing w:after="0"/>
            </w:pPr>
            <w:r>
              <w:rPr>
                <w:sz w:val="17"/>
              </w:rPr>
              <w:t>Converts the bracketed radical, including Word superscript-formatted powers, when safely parseable.</w:t>
            </w:r>
          </w:p>
        </w:tc>
        <w:tc>
          <w:tcPr>
            <w:tcW w:type="dxa" w:w="4464"/>
            <w:shd w:fill="EEF5FB"/>
            <w:tcMar>
              <w:top w:w="100" w:type="dxa"/>
              <w:start w:w="110" w:type="dxa"/>
              <w:bottom w:w="100" w:type="dxa"/>
              <w:end w:w="110" w:type="dxa"/>
            </w:tcMar>
            <w:vAlign w:val="center"/>
          </w:tcPr>
          <w:p>
            <w:pPr>
              <w:spacing w:after="0"/>
            </w:pPr>
            <w:r>
              <w:rPr>
                <w:sz w:val="17"/>
              </w:rPr>
              <w:t>Brackets establish radical scope.</w:t>
            </w:r>
          </w:p>
        </w:tc>
      </w:tr>
      <w:tr>
        <w:trPr>
          <w:cantSplit w:val="true"/>
        </w:trPr>
        <w:tc>
          <w:tcPr>
            <w:tcW w:type="dxa" w:w="2160"/>
            <w:tcMar>
              <w:top w:w="100" w:type="dxa"/>
              <w:start w:w="110" w:type="dxa"/>
              <w:bottom w:w="100" w:type="dxa"/>
              <w:end w:w="110" w:type="dxa"/>
            </w:tcMar>
            <w:vAlign w:val="center"/>
          </w:tcPr>
          <w:p>
            <w:pPr>
              <w:spacing w:after="0"/>
            </w:pPr>
            <w:r>
              <w:rPr>
                <w:sz w:val="17"/>
              </w:rPr>
              <w:t>√a+b, √5/9, √r²</w:t>
            </w:r>
          </w:p>
        </w:tc>
        <w:tc>
          <w:tcPr>
            <w:tcW w:type="dxa" w:w="3744"/>
            <w:tcMar>
              <w:top w:w="100" w:type="dxa"/>
              <w:start w:w="110" w:type="dxa"/>
              <w:bottom w:w="100" w:type="dxa"/>
              <w:end w:w="110" w:type="dxa"/>
            </w:tcMar>
            <w:vAlign w:val="center"/>
          </w:tcPr>
          <w:p>
            <w:pPr>
              <w:spacing w:after="0"/>
            </w:pPr>
            <w:r>
              <w:rPr>
                <w:sz w:val="17"/>
              </w:rPr>
              <w:t>Preserves and reports the expression.</w:t>
            </w:r>
          </w:p>
        </w:tc>
        <w:tc>
          <w:tcPr>
            <w:tcW w:type="dxa" w:w="4464"/>
            <w:tcMar>
              <w:top w:w="100" w:type="dxa"/>
              <w:start w:w="110" w:type="dxa"/>
              <w:bottom w:w="100" w:type="dxa"/>
              <w:end w:w="110" w:type="dxa"/>
            </w:tcMar>
            <w:vAlign w:val="center"/>
          </w:tcPr>
          <w:p>
            <w:pPr>
              <w:spacing w:after="0"/>
            </w:pPr>
            <w:r>
              <w:rPr>
                <w:sz w:val="17"/>
              </w:rPr>
              <w:t>Radical or fraction scope could change the meaning. Use brackets or Equation Editor.</w:t>
            </w:r>
          </w:p>
        </w:tc>
      </w:tr>
      <w:tr>
        <w:trPr>
          <w:cantSplit w:val="true"/>
        </w:trPr>
        <w:tc>
          <w:tcPr>
            <w:tcW w:type="dxa" w:w="2160"/>
            <w:shd w:fill="EEF5FB"/>
            <w:tcMar>
              <w:top w:w="100" w:type="dxa"/>
              <w:start w:w="110" w:type="dxa"/>
              <w:bottom w:w="100" w:type="dxa"/>
              <w:end w:w="110" w:type="dxa"/>
            </w:tcMar>
            <w:vAlign w:val="center"/>
          </w:tcPr>
          <w:p>
            <w:pPr>
              <w:spacing w:after="0"/>
            </w:pPr>
            <w:r>
              <w:rPr>
                <w:sz w:val="17"/>
              </w:rPr>
              <w:t>3x + 5 = 20</w:t>
            </w:r>
          </w:p>
        </w:tc>
        <w:tc>
          <w:tcPr>
            <w:tcW w:type="dxa" w:w="3744"/>
            <w:shd w:fill="EEF5FB"/>
            <w:tcMar>
              <w:top w:w="100" w:type="dxa"/>
              <w:start w:w="110" w:type="dxa"/>
              <w:bottom w:w="100" w:type="dxa"/>
              <w:end w:w="110" w:type="dxa"/>
            </w:tcMar>
            <w:vAlign w:val="center"/>
          </w:tcPr>
          <w:p>
            <w:pPr>
              <w:spacing w:after="0"/>
            </w:pPr>
            <w:r>
              <w:rPr>
                <w:sz w:val="17"/>
              </w:rPr>
              <w:t>May remain ordinary Word text; spacing is normalised and high-confidence x may be italicised.</w:t>
            </w:r>
          </w:p>
        </w:tc>
        <w:tc>
          <w:tcPr>
            <w:tcW w:type="dxa" w:w="4464"/>
            <w:shd w:fill="EEF5FB"/>
            <w:tcMar>
              <w:top w:w="100" w:type="dxa"/>
              <w:start w:w="110" w:type="dxa"/>
              <w:bottom w:w="100" w:type="dxa"/>
              <w:end w:w="110" w:type="dxa"/>
            </w:tcMar>
            <w:vAlign w:val="center"/>
          </w:tcPr>
          <w:p>
            <w:pPr>
              <w:spacing w:after="0"/>
            </w:pPr>
            <w:r>
              <w:rPr>
                <w:sz w:val="17"/>
              </w:rPr>
              <w:t>A linear equation does not have to be converted to Equation Editor.</w:t>
            </w:r>
          </w:p>
        </w:tc>
      </w:tr>
      <w:tr>
        <w:trPr>
          <w:cantSplit w:val="true"/>
        </w:trPr>
        <w:tc>
          <w:tcPr>
            <w:tcW w:type="dxa" w:w="2160"/>
            <w:tcMar>
              <w:top w:w="100" w:type="dxa"/>
              <w:start w:w="110" w:type="dxa"/>
              <w:bottom w:w="100" w:type="dxa"/>
              <w:end w:w="110" w:type="dxa"/>
            </w:tcMar>
            <w:vAlign w:val="center"/>
          </w:tcPr>
          <w:p>
            <w:pPr>
              <w:spacing w:after="0"/>
            </w:pPr>
            <w:r>
              <w:rPr>
                <w:sz w:val="17"/>
              </w:rPr>
              <w:t>Existing native equation</w:t>
            </w:r>
          </w:p>
        </w:tc>
        <w:tc>
          <w:tcPr>
            <w:tcW w:type="dxa" w:w="3744"/>
            <w:tcMar>
              <w:top w:w="100" w:type="dxa"/>
              <w:start w:w="110" w:type="dxa"/>
              <w:bottom w:w="100" w:type="dxa"/>
              <w:end w:w="110" w:type="dxa"/>
            </w:tcMar>
            <w:vAlign w:val="center"/>
          </w:tcPr>
          <w:p>
            <w:pPr>
              <w:spacing w:after="0"/>
            </w:pPr>
            <w:r>
              <w:rPr>
                <w:sz w:val="17"/>
              </w:rPr>
              <w:t>Preserves it and verifies that non-empty original equation text/operators survive processing.</w:t>
            </w:r>
          </w:p>
        </w:tc>
        <w:tc>
          <w:tcPr>
            <w:tcW w:type="dxa" w:w="4464"/>
            <w:tcMar>
              <w:top w:w="100" w:type="dxa"/>
              <w:start w:w="110" w:type="dxa"/>
              <w:bottom w:w="100" w:type="dxa"/>
              <w:end w:w="110" w:type="dxa"/>
            </w:tcMar>
            <w:vAlign w:val="center"/>
          </w:tcPr>
          <w:p>
            <w:pPr>
              <w:spacing w:after="0"/>
            </w:pPr>
            <w:r>
              <w:rPr>
                <w:sz w:val="17"/>
              </w:rPr>
              <w:t>Author-created equations are authoritative.</w:t>
            </w:r>
          </w:p>
        </w:tc>
      </w:tr>
      <w:tr>
        <w:trPr>
          <w:cantSplit w:val="true"/>
        </w:trPr>
        <w:tc>
          <w:tcPr>
            <w:tcW w:type="dxa" w:w="2160"/>
            <w:shd w:fill="EEF5FB"/>
            <w:tcMar>
              <w:top w:w="100" w:type="dxa"/>
              <w:start w:w="110" w:type="dxa"/>
              <w:bottom w:w="100" w:type="dxa"/>
              <w:end w:w="110" w:type="dxa"/>
            </w:tcMar>
            <w:vAlign w:val="center"/>
          </w:tcPr>
          <w:p>
            <w:pPr>
              <w:spacing w:after="0"/>
            </w:pPr>
            <w:r>
              <w:rPr>
                <w:sz w:val="17"/>
              </w:rPr>
              <w:t>Blank exponent/subscript/equation template</w:t>
            </w:r>
          </w:p>
        </w:tc>
        <w:tc>
          <w:tcPr>
            <w:tcW w:type="dxa" w:w="3744"/>
            <w:shd w:fill="EEF5FB"/>
            <w:tcMar>
              <w:top w:w="100" w:type="dxa"/>
              <w:start w:w="110" w:type="dxa"/>
              <w:bottom w:w="100" w:type="dxa"/>
              <w:end w:w="110" w:type="dxa"/>
            </w:tcMar>
            <w:vAlign w:val="center"/>
          </w:tcPr>
          <w:p>
            <w:r>
              <w:t>Removes a genuinely empty standalone equation object. An empty script slot embedded in a non-empty equation is preserved.</w:t>
            </w:r>
          </w:p>
        </w:tc>
        <w:tc>
          <w:tcPr>
            <w:tcW w:type="dxa" w:w="4464"/>
            <w:shd w:fill="EEF5FB"/>
            <w:tcMar>
              <w:top w:w="100" w:type="dxa"/>
              <w:start w:w="110" w:type="dxa"/>
              <w:bottom w:w="100" w:type="dxa"/>
              <w:end w:w="110" w:type="dxa"/>
            </w:tcMar>
            <w:vAlign w:val="center"/>
          </w:tcPr>
          <w:p>
            <w:r>
              <w:t>Embedded script structures belong to the author-created equation and are kept even when a slot is visually blank.</w:t>
            </w:r>
          </w:p>
        </w:tc>
      </w:tr>
    </w:tbl>
    <w:p>
      <w:pPr>
        <w:spacing w:after="0"/>
      </w:pPr>
    </w:p>
    <w:p>
      <w:pPr>
        <w:pStyle w:val="Heading2"/>
        <w:keepNext/>
      </w:pPr>
      <w:r>
        <w:t>Variables, geometry labels and units</w:t>
      </w:r>
    </w:p>
    <w:p>
      <w:pPr>
        <w:pStyle w:val="ListBullet"/>
      </w:pPr>
      <w:r>
        <w:t>Single-letter variables are italicised only when equations or explicit mathematical wording identify them with high confidence.</w:t>
      </w:r>
    </w:p>
    <w:p>
      <w:pPr>
        <w:pStyle w:val="ListBullet"/>
      </w:pPr>
      <w:r>
        <w:t>Geometry labels are identified from cues such as point A, line BC, angle A, triangle ABC, centre O, vertex P and radius r.</w:t>
      </w:r>
    </w:p>
    <w:p>
      <w:pPr>
        <w:pStyle w:val="ListBullet"/>
      </w:pPr>
      <w:r>
        <w:t>The question record is the scope for tracking a symbol already identified as mathematical.</w:t>
      </w:r>
    </w:p>
    <w:p>
      <w:pPr>
        <w:pStyle w:val="ListBullet"/>
      </w:pPr>
      <w:r>
        <w:t>Ordinary articles and labels are protected: A circle, Option A, Assertion (A), Reason (R), part (a) and choice a) are not treated as variables.</w:t>
      </w:r>
    </w:p>
    <w:p>
      <w:pPr>
        <w:pStyle w:val="ListBullet"/>
      </w:pPr>
      <w:r>
        <w:t>Recognised measurement units such as m, cm and kg are protected from italics.</w:t>
      </w:r>
    </w:p>
    <w:p>
      <w:pPr>
        <w:pStyle w:val="ListBullet"/>
      </w:pPr>
      <w:r>
        <w:t>Uncertain occurrences remain unchanged and may appear under Action required.</w:t>
      </w:r>
    </w:p>
    <w:p>
      <w:pPr>
        <w:pStyle w:val="Heading2"/>
        <w:keepNext/>
      </w:pPr>
      <w:r>
        <w:t>Equation screenshots</w:t>
      </w:r>
    </w:p>
    <w:p>
      <w:r>
        <w:t>An image occurring in mathematical content is reported for review because it may be an equation screenshot. Keep genuine diagrams as images. Recreate equation screenshots with Insert → Equation before final CMS verification.</w:t>
      </w:r>
    </w:p>
    <w:p>
      <w:pPr>
        <w:pStyle w:val="Heading1"/>
        <w:keepNext/>
      </w:pPr>
      <w:r>
        <w:t>7. Assertion–Reason questions</w:t>
      </w:r>
    </w:p>
    <w:p>
      <w:r>
        <w:t>Use the following plain authoring structure. Assertion labels A and R remain upright unless the author deliberately formats them otherwise.</w:t>
      </w:r>
    </w:p>
    <w:p>
      <w:pPr>
        <w:pStyle w:val="TemplateText"/>
        <w:keepLines/>
      </w:pPr>
      <w:r>
        <w:t>Question 3</w:t>
        <w:br/>
        <w:t>Difficulty level: Average</w:t>
        <w:br/>
        <w:t>Objective: Analysis</w:t>
        <w:br/>
        <w:t>Question type: MCQ</w:t>
        <w:br/>
        <w:t>A statement of Assertion (A) is followed by a statement of Reason (R).</w:t>
        <w:br/>
        <w:t>Assertion (A): A is a factor of B.</w:t>
        <w:br/>
        <w:t>Reason (R): All prime factors of A occur in B with at least the same powers.</w:t>
        <w:br/>
        <w:t>Choose the correct option:</w:t>
        <w:br/>
        <w:t>a) Both Assertion (A) and Reason (R) are true and Reason (R) is the correct explanation of Assertion (A)</w:t>
        <w:br/>
        <w:t>b) Both Assertion (A) and Reason (R) are true and Reason (R) is not the correct explanation of Assertion (A)</w:t>
        <w:br/>
        <w:t>c) Assertion (A) is true but Reason (R) is false</w:t>
        <w:br/>
        <w:t>d) Assertion (A) is false but Reason (R) is true</w:t>
        <w:br/>
        <w:t>Answer: a</w:t>
      </w:r>
    </w:p>
    <w:p>
      <w:pPr>
        <w:pStyle w:val="ListBullet"/>
      </w:pPr>
      <w:r>
        <w:t>The app can insert the standard introductory sentence when it detects a clear Assertion–Reason item.</w:t>
      </w:r>
    </w:p>
    <w:p>
      <w:pPr>
        <w:pStyle w:val="ListBullet"/>
      </w:pPr>
      <w:r>
        <w:t>This introductory sentence is the only Assertion–Reason structural content the app inserts automatically.</w:t>
      </w:r>
    </w:p>
    <w:p>
      <w:pPr>
        <w:pStyle w:val="ListBullet"/>
      </w:pPr>
      <w:r>
        <w:t>It preserves the author’s choice wording and checks for four choices with exactly one correct answer.</w:t>
      </w:r>
    </w:p>
    <w:p>
      <w:pPr>
        <w:pStyle w:val="ListBullet"/>
      </w:pPr>
      <w:r>
        <w:t>Missing choices or more/less than one correct-answer marker are reported for review.</w:t>
      </w:r>
    </w:p>
    <w:p>
      <w:pPr>
        <w:pStyle w:val="Heading1"/>
        <w:keepNext/>
      </w:pPr>
      <w:r>
        <w:t>8. Images and Alt Text</w:t>
      </w:r>
    </w:p>
    <w:p>
      <w:r>
        <w:t>When image handling is selected, the app extracts modern Word images and legacy VML images, removes outer white margins where possible, saves the assets as GIF files and writes the resolved CMS filename into the image’s Word Alt Text description.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shd w:fill="17365D"/>
            <w:tcMar>
              <w:top w:w="100" w:type="dxa"/>
              <w:start w:w="110" w:type="dxa"/>
              <w:bottom w:w="100" w:type="dxa"/>
              <w:end w:w="110" w:type="dxa"/>
            </w:tcMar>
            <w:vAlign w:val="center"/>
          </w:tcPr>
          <w:p>
            <w:pPr>
              <w:jc w:val="center"/>
            </w:pPr>
            <w:r>
              <w:rPr>
                <w:b/>
                <w:color w:val="FFFFFF"/>
                <w:sz w:val="18"/>
              </w:rPr>
              <w:t>Location</w:t>
            </w:r>
          </w:p>
        </w:tc>
        <w:tc>
          <w:tcPr>
            <w:tcW w:type="dxa" w:w="4680"/>
            <w:shd w:fill="17365D"/>
            <w:tcMar>
              <w:top w:w="100" w:type="dxa"/>
              <w:start w:w="110" w:type="dxa"/>
              <w:bottom w:w="100" w:type="dxa"/>
              <w:end w:w="110" w:type="dxa"/>
            </w:tcMar>
            <w:vAlign w:val="center"/>
          </w:tcPr>
          <w:p>
            <w:pPr>
              <w:jc w:val="center"/>
            </w:pPr>
            <w:r>
              <w:rPr>
                <w:b/>
                <w:color w:val="FFFFFF"/>
                <w:sz w:val="18"/>
              </w:rPr>
              <w:t>Filename convention</w:t>
            </w:r>
          </w:p>
        </w:tc>
        <w:tc>
          <w:tcPr>
            <w:tcW w:type="dxa" w:w="3456"/>
            <w:shd w:fill="17365D"/>
            <w:tcMar>
              <w:top w:w="100" w:type="dxa"/>
              <w:start w:w="110" w:type="dxa"/>
              <w:bottom w:w="100" w:type="dxa"/>
              <w:end w:w="110" w:type="dxa"/>
            </w:tcMar>
            <w:vAlign w:val="center"/>
          </w:tcPr>
          <w:p>
            <w:pPr>
              <w:jc w:val="center"/>
            </w:pPr>
            <w:r>
              <w:rPr>
                <w:b/>
                <w:color w:val="FFFFFF"/>
                <w:sz w:val="18"/>
              </w:rPr>
              <w:t>Example</w:t>
            </w:r>
          </w:p>
        </w:tc>
      </w:tr>
      <w:tr>
        <w:trPr>
          <w:cantSplit w:val="true"/>
        </w:trPr>
        <w:tc>
          <w:tcPr>
            <w:tcW w:type="dxa" w:w="2232"/>
            <w:tcMar>
              <w:top w:w="100" w:type="dxa"/>
              <w:start w:w="110" w:type="dxa"/>
              <w:bottom w:w="100" w:type="dxa"/>
              <w:end w:w="110" w:type="dxa"/>
            </w:tcMar>
            <w:vAlign w:val="center"/>
          </w:tcPr>
          <w:p>
            <w:pPr>
              <w:spacing w:after="0"/>
            </w:pPr>
            <w:r>
              <w:rPr>
                <w:sz w:val="17"/>
              </w:rPr>
              <w:t>Question image</w:t>
            </w:r>
          </w:p>
        </w:tc>
        <w:tc>
          <w:tcPr>
            <w:tcW w:type="dxa" w:w="4680"/>
            <w:tcMar>
              <w:top w:w="100" w:type="dxa"/>
              <w:start w:w="110" w:type="dxa"/>
              <w:bottom w:w="100" w:type="dxa"/>
              <w:end w:w="110" w:type="dxa"/>
            </w:tcMar>
            <w:vAlign w:val="center"/>
          </w:tcPr>
          <w:p>
            <w:pPr>
              <w:spacing w:after="0"/>
            </w:pPr>
            <w:r>
              <w:rPr>
                <w:sz w:val="17"/>
              </w:rPr>
              <w:t>projectID_qQuestionNumber_sequence.gif</w:t>
            </w:r>
          </w:p>
        </w:tc>
        <w:tc>
          <w:tcPr>
            <w:tcW w:type="dxa" w:w="3456"/>
            <w:tcMar>
              <w:top w:w="100" w:type="dxa"/>
              <w:start w:w="110" w:type="dxa"/>
              <w:bottom w:w="100" w:type="dxa"/>
              <w:end w:w="110" w:type="dxa"/>
            </w:tcMar>
            <w:vAlign w:val="center"/>
          </w:tcPr>
          <w:p>
            <w:pPr>
              <w:spacing w:after="0"/>
            </w:pPr>
            <w:r>
              <w:rPr>
                <w:sz w:val="17"/>
              </w:rPr>
              <w:t>project10427_q19_1.gif</w:t>
            </w:r>
          </w:p>
        </w:tc>
      </w:tr>
      <w:tr>
        <w:trPr>
          <w:cantSplit w:val="true"/>
        </w:trPr>
        <w:tc>
          <w:tcPr>
            <w:tcW w:type="dxa" w:w="2232"/>
            <w:shd w:fill="EEF5FB"/>
            <w:tcMar>
              <w:top w:w="100" w:type="dxa"/>
              <w:start w:w="110" w:type="dxa"/>
              <w:bottom w:w="100" w:type="dxa"/>
              <w:end w:w="110" w:type="dxa"/>
            </w:tcMar>
            <w:vAlign w:val="center"/>
          </w:tcPr>
          <w:p>
            <w:pPr>
              <w:spacing w:after="0"/>
            </w:pPr>
            <w:r>
              <w:rPr>
                <w:sz w:val="17"/>
              </w:rPr>
              <w:t>One image in choice 1</w:t>
            </w:r>
          </w:p>
        </w:tc>
        <w:tc>
          <w:tcPr>
            <w:tcW w:type="dxa" w:w="4680"/>
            <w:shd w:fill="EEF5FB"/>
            <w:tcMar>
              <w:top w:w="100" w:type="dxa"/>
              <w:start w:w="110" w:type="dxa"/>
              <w:bottom w:w="100" w:type="dxa"/>
              <w:end w:w="110" w:type="dxa"/>
            </w:tcMar>
            <w:vAlign w:val="center"/>
          </w:tcPr>
          <w:p>
            <w:pPr>
              <w:spacing w:after="0"/>
            </w:pPr>
            <w:r>
              <w:rPr>
                <w:sz w:val="17"/>
              </w:rPr>
              <w:t>projectID_qQuestionNumber_cChoiceNumber.gif</w:t>
            </w:r>
          </w:p>
        </w:tc>
        <w:tc>
          <w:tcPr>
            <w:tcW w:type="dxa" w:w="3456"/>
            <w:shd w:fill="EEF5FB"/>
            <w:tcMar>
              <w:top w:w="100" w:type="dxa"/>
              <w:start w:w="110" w:type="dxa"/>
              <w:bottom w:w="100" w:type="dxa"/>
              <w:end w:w="110" w:type="dxa"/>
            </w:tcMar>
            <w:vAlign w:val="center"/>
          </w:tcPr>
          <w:p>
            <w:pPr>
              <w:spacing w:after="0"/>
            </w:pPr>
            <w:r>
              <w:rPr>
                <w:sz w:val="17"/>
              </w:rPr>
              <w:t>project10427_q15_c1.gif</w:t>
            </w:r>
          </w:p>
        </w:tc>
      </w:tr>
      <w:tr>
        <w:trPr>
          <w:cantSplit w:val="true"/>
        </w:trPr>
        <w:tc>
          <w:tcPr>
            <w:tcW w:type="dxa" w:w="2232"/>
            <w:tcMar>
              <w:top w:w="100" w:type="dxa"/>
              <w:start w:w="110" w:type="dxa"/>
              <w:bottom w:w="100" w:type="dxa"/>
              <w:end w:w="110" w:type="dxa"/>
            </w:tcMar>
            <w:vAlign w:val="center"/>
          </w:tcPr>
          <w:p>
            <w:pPr>
              <w:spacing w:after="0"/>
            </w:pPr>
            <w:r>
              <w:rPr>
                <w:sz w:val="17"/>
              </w:rPr>
              <w:t>Several images in one choice</w:t>
            </w:r>
          </w:p>
        </w:tc>
        <w:tc>
          <w:tcPr>
            <w:tcW w:type="dxa" w:w="4680"/>
            <w:tcMar>
              <w:top w:w="100" w:type="dxa"/>
              <w:start w:w="110" w:type="dxa"/>
              <w:bottom w:w="100" w:type="dxa"/>
              <w:end w:w="110" w:type="dxa"/>
            </w:tcMar>
            <w:vAlign w:val="center"/>
          </w:tcPr>
          <w:p>
            <w:pPr>
              <w:spacing w:after="0"/>
            </w:pPr>
            <w:r>
              <w:rPr>
                <w:sz w:val="17"/>
              </w:rPr>
              <w:t>projectID_qQuestionNumber_cChoiceNumber_sequence.gif</w:t>
            </w:r>
          </w:p>
        </w:tc>
        <w:tc>
          <w:tcPr>
            <w:tcW w:type="dxa" w:w="3456"/>
            <w:tcMar>
              <w:top w:w="100" w:type="dxa"/>
              <w:start w:w="110" w:type="dxa"/>
              <w:bottom w:w="100" w:type="dxa"/>
              <w:end w:w="110" w:type="dxa"/>
            </w:tcMar>
            <w:vAlign w:val="center"/>
          </w:tcPr>
          <w:p>
            <w:pPr>
              <w:spacing w:after="0"/>
            </w:pPr>
            <w:r>
              <w:rPr>
                <w:sz w:val="17"/>
              </w:rPr>
              <w:t>project10427_q15_c1_1.gif</w:t>
            </w:r>
          </w:p>
        </w:tc>
      </w:tr>
      <w:tr>
        <w:trPr>
          <w:cantSplit w:val="true"/>
        </w:trPr>
        <w:tc>
          <w:tcPr>
            <w:tcW w:type="dxa" w:w="2232"/>
            <w:shd w:fill="EEF5FB"/>
            <w:tcMar>
              <w:top w:w="100" w:type="dxa"/>
              <w:start w:w="110" w:type="dxa"/>
              <w:bottom w:w="100" w:type="dxa"/>
              <w:end w:w="110" w:type="dxa"/>
            </w:tcMar>
            <w:vAlign w:val="center"/>
          </w:tcPr>
          <w:p>
            <w:pPr>
              <w:spacing w:after="0"/>
            </w:pPr>
            <w:r>
              <w:rPr>
                <w:sz w:val="17"/>
              </w:rPr>
              <w:t>One solution image</w:t>
            </w:r>
          </w:p>
        </w:tc>
        <w:tc>
          <w:tcPr>
            <w:tcW w:type="dxa" w:w="4680"/>
            <w:shd w:fill="EEF5FB"/>
            <w:tcMar>
              <w:top w:w="100" w:type="dxa"/>
              <w:start w:w="110" w:type="dxa"/>
              <w:bottom w:w="100" w:type="dxa"/>
              <w:end w:w="110" w:type="dxa"/>
            </w:tcMar>
            <w:vAlign w:val="center"/>
          </w:tcPr>
          <w:p>
            <w:pPr>
              <w:spacing w:after="0"/>
            </w:pPr>
            <w:r>
              <w:rPr>
                <w:sz w:val="17"/>
              </w:rPr>
              <w:t>projectID_aQuestionNumber.gif</w:t>
            </w:r>
          </w:p>
        </w:tc>
        <w:tc>
          <w:tcPr>
            <w:tcW w:type="dxa" w:w="3456"/>
            <w:shd w:fill="EEF5FB"/>
            <w:tcMar>
              <w:top w:w="100" w:type="dxa"/>
              <w:start w:w="110" w:type="dxa"/>
              <w:bottom w:w="100" w:type="dxa"/>
              <w:end w:w="110" w:type="dxa"/>
            </w:tcMar>
            <w:vAlign w:val="center"/>
          </w:tcPr>
          <w:p>
            <w:pPr>
              <w:spacing w:after="0"/>
            </w:pPr>
            <w:r>
              <w:rPr>
                <w:sz w:val="17"/>
              </w:rPr>
              <w:t>project10250_a153.gif</w:t>
            </w:r>
          </w:p>
        </w:tc>
      </w:tr>
      <w:tr>
        <w:trPr>
          <w:cantSplit w:val="true"/>
        </w:trPr>
        <w:tc>
          <w:tcPr>
            <w:tcW w:type="dxa" w:w="2232"/>
            <w:tcMar>
              <w:top w:w="100" w:type="dxa"/>
              <w:start w:w="110" w:type="dxa"/>
              <w:bottom w:w="100" w:type="dxa"/>
              <w:end w:w="110" w:type="dxa"/>
            </w:tcMar>
            <w:vAlign w:val="center"/>
          </w:tcPr>
          <w:p>
            <w:pPr>
              <w:spacing w:after="0"/>
            </w:pPr>
            <w:r>
              <w:rPr>
                <w:sz w:val="17"/>
              </w:rPr>
              <w:t>Several solution images</w:t>
            </w:r>
          </w:p>
        </w:tc>
        <w:tc>
          <w:tcPr>
            <w:tcW w:type="dxa" w:w="4680"/>
            <w:tcMar>
              <w:top w:w="100" w:type="dxa"/>
              <w:start w:w="110" w:type="dxa"/>
              <w:bottom w:w="100" w:type="dxa"/>
              <w:end w:w="110" w:type="dxa"/>
            </w:tcMar>
            <w:vAlign w:val="center"/>
          </w:tcPr>
          <w:p>
            <w:pPr>
              <w:spacing w:after="0"/>
            </w:pPr>
            <w:r>
              <w:rPr>
                <w:sz w:val="17"/>
              </w:rPr>
              <w:t>projectID_aQuestionNumber_sequence.gif</w:t>
            </w:r>
          </w:p>
        </w:tc>
        <w:tc>
          <w:tcPr>
            <w:tcW w:type="dxa" w:w="3456"/>
            <w:tcMar>
              <w:top w:w="100" w:type="dxa"/>
              <w:start w:w="110" w:type="dxa"/>
              <w:bottom w:w="100" w:type="dxa"/>
              <w:end w:w="110" w:type="dxa"/>
            </w:tcMar>
            <w:vAlign w:val="center"/>
          </w:tcPr>
          <w:p>
            <w:pPr>
              <w:spacing w:after="0"/>
            </w:pPr>
            <w:r>
              <w:rPr>
                <w:sz w:val="17"/>
              </w:rPr>
              <w:t>project10250_a154_1.gif</w:t>
            </w:r>
          </w:p>
        </w:tc>
      </w:tr>
      <w:tr>
        <w:trPr>
          <w:cantSplit w:val="true"/>
        </w:trPr>
        <w:tc>
          <w:tcPr>
            <w:tcW w:type="dxa" w:w="2232"/>
            <w:shd w:fill="EEF5FB"/>
            <w:tcMar>
              <w:top w:w="100" w:type="dxa"/>
              <w:start w:w="110" w:type="dxa"/>
              <w:bottom w:w="100" w:type="dxa"/>
              <w:end w:w="110" w:type="dxa"/>
            </w:tcMar>
            <w:vAlign w:val="center"/>
          </w:tcPr>
          <w:p>
            <w:pPr>
              <w:spacing w:after="0"/>
            </w:pPr>
            <w:r>
              <w:rPr>
                <w:sz w:val="17"/>
              </w:rPr>
              <w:t>Image in FIB Answers block</w:t>
            </w:r>
          </w:p>
        </w:tc>
        <w:tc>
          <w:tcPr>
            <w:tcW w:type="dxa" w:w="4680"/>
            <w:shd w:fill="EEF5FB"/>
            <w:tcMar>
              <w:top w:w="100" w:type="dxa"/>
              <w:start w:w="110" w:type="dxa"/>
              <w:bottom w:w="100" w:type="dxa"/>
              <w:end w:w="110" w:type="dxa"/>
            </w:tcMar>
            <w:vAlign w:val="center"/>
          </w:tcPr>
          <w:p>
            <w:pPr>
              <w:spacing w:after="0"/>
            </w:pPr>
            <w:r>
              <w:rPr>
                <w:sz w:val="17"/>
              </w:rPr>
              <w:t>REVIEW_… filename; no accepted answer-image workflow</w:t>
            </w:r>
          </w:p>
        </w:tc>
        <w:tc>
          <w:tcPr>
            <w:tcW w:type="dxa" w:w="3456"/>
            <w:shd w:fill="EEF5FB"/>
            <w:tcMar>
              <w:top w:w="100" w:type="dxa"/>
              <w:start w:w="110" w:type="dxa"/>
              <w:bottom w:w="100" w:type="dxa"/>
              <w:end w:w="110" w:type="dxa"/>
            </w:tcMar>
            <w:vAlign w:val="center"/>
          </w:tcPr>
          <w:p>
            <w:pPr>
              <w:spacing w:after="0"/>
            </w:pPr>
            <w:r>
              <w:rPr>
                <w:sz w:val="17"/>
              </w:rPr>
              <w:t>Remove or redesign before verification</w:t>
            </w:r>
          </w:p>
        </w:tc>
      </w:tr>
    </w:tbl>
    <w:p>
      <w:pPr>
        <w:spacing w:after="0"/>
      </w:pPr>
    </w:p>
    <w:p>
      <w:pPr>
        <w:pStyle w:val="Heading2"/>
        <w:keepNext/>
      </w:pPr>
      <w:r>
        <w:t>Duplicate images</w:t>
      </w:r>
    </w:p>
    <w:p>
      <w:r>
        <w:t>The app compares normalised visible pixels, so harmless file metadata or encoding differences do not prevent reuse. When the same visual image appears more than once in question/choice content within the project, later occurrences reuse the first canonical filename and Alt Text. Solution images are deduplicated within the separate solution-image area. The ZIP stores one copy of each reused filename.</w:t>
      </w:r>
    </w:p>
    <w:p>
      <w:pPr>
        <w:pStyle w:val="ListBullet"/>
      </w:pPr>
      <w:r>
        <w:t>Images and Alt Text processing recognises tagged headings and plain headings such as Question 16 Case study. In image-only work it keeps the document text unchanged, uses the detected question number in the filename and replaces stale Alt Text with the current CMS filename.</w:t>
      </w:r>
    </w:p>
    <w:p>
      <w:pPr>
        <w:pStyle w:val="Heading2"/>
        <w:keepNext/>
      </w:pPr>
      <w:r>
        <w:t>Images that require review</w:t>
      </w:r>
    </w:p>
    <w:p>
      <w:pPr>
        <w:pStyle w:val="ListBullet"/>
      </w:pPr>
      <w:r>
        <w:t>An image before an identifiable question receives a REVIEW filename.</w:t>
      </w:r>
    </w:p>
    <w:p>
      <w:pPr>
        <w:pStyle w:val="ListBullet"/>
      </w:pPr>
      <w:r>
        <w:t>An image outside Question, Choices or Solution content receives a REVIEW filename.</w:t>
      </w:r>
    </w:p>
    <w:p>
      <w:pPr>
        <w:pStyle w:val="ListBullet"/>
      </w:pPr>
      <w:r>
        <w:t>An image in an FIB Answers block is incompatible with the CMS answer field and must be removed or redesigned.</w:t>
      </w:r>
    </w:p>
    <w:p>
      <w:pPr>
        <w:pStyle w:val="ListBullet"/>
      </w:pPr>
      <w:r>
        <w:t>The app prepares files and Alt Text; it does not upload image files to CMS. The CMS operator uploads the ZIP contents manually.</w:t>
      </w:r>
    </w:p>
    <w:p>
      <w:pPr>
        <w:pStyle w:val="Heading1"/>
        <w:keepNext/>
      </w:pPr>
      <w:r>
        <w:t>9. Curriculum and Taxonomy mapping preparation</w:t>
      </w:r>
    </w:p>
    <w:p>
      <w:pPr>
        <w:pStyle w:val="Heading2"/>
        <w:keepNext/>
      </w:pPr>
      <w:r>
        <w:t>Authoring mappings inside the DOCX</w:t>
      </w:r>
    </w:p>
    <w:p>
      <w:r>
        <w:t>Write mapping paths separately inside each question. Start each block with Curriculum: or Taxonomy:. Additional paths may follow in their own paragraphs and must contain &gt;&gt;.</w:t>
      </w:r>
    </w:p>
    <w:p>
      <w:pPr>
        <w:pStyle w:val="TemplateText"/>
        <w:keepLines/>
      </w:pPr>
      <w:r>
        <w:t>Curriculum: CBSE NCERT &gt;&gt; Class 4 &gt;&gt; Mathematics &gt;&gt; Measuring Length &gt;&gt; Metres and Centimetres</w:t>
        <w:br/>
        <w:t>India &gt;&gt; Class 4 &gt;&gt; Mathematics &gt;&gt; Measurement</w:t>
        <w:br/>
        <w:t>India &gt;&gt; Class 4 &gt;&gt; Mathematics &gt;&gt; Case Study Based Questions</w:t>
        <w:br/>
        <w:t>Taxonomy: Mathematics &gt;&gt; Measurement &gt;&gt; Length</w:t>
      </w:r>
    </w:p>
    <w:p>
      <w:pPr>
        <w:pStyle w:val="ListBullet"/>
      </w:pPr>
      <w:r>
        <w:t>Use the exact CMS hierarchy and spelling. The app normalises spaces around &gt;&gt; but does not rewrite the meaning of a path.</w:t>
      </w:r>
    </w:p>
    <w:p>
      <w:pPr>
        <w:pStyle w:val="ListBullet"/>
      </w:pPr>
      <w:r>
        <w:t>Mappings are associated with the current question and its New snippet ID.</w:t>
      </w:r>
    </w:p>
    <w:p>
      <w:pPr>
        <w:pStyle w:val="ListBullet"/>
      </w:pPr>
      <w:r>
        <w:t>When mapping preparation is selected, author-only mapping lines are removed from the processed DOCX and written to a CSV.</w:t>
      </w:r>
    </w:p>
    <w:p>
      <w:pPr>
        <w:pStyle w:val="ListBullet"/>
      </w:pPr>
      <w:r>
        <w:t>A mapping placed before an identifiable question, an incomplete path or a question without a usable snippet ID is reported.</w:t>
      </w:r>
    </w:p>
    <w:p>
      <w:pPr>
        <w:pStyle w:val="Heading1"/>
        <w:keepNext/>
      </w:pPr>
      <w:r>
        <w:t>10. Applying mappings to CMS</w:t>
      </w:r>
    </w:p>
    <w:p>
      <w:r>
        <w:t>Apply mappings only after the questions exist in CMS. They may have been created by Anand’s population tool or may already exist from another workflow.</w:t>
      </w:r>
    </w:p>
    <w:p>
      <w:pPr>
        <w:pStyle w:val="ListNumber"/>
      </w:pPr>
      <w:r>
        <w:t>Open Apply mappings to CMS at the bottom of the app.</w:t>
      </w:r>
    </w:p>
    <w:p>
      <w:pPr>
        <w:pStyle w:val="ListNumber"/>
      </w:pPr>
      <w:r>
        <w:t>Upload the generated mapping CSV or a separate mapping-only CSV/XLSX.</w:t>
      </w:r>
    </w:p>
    <w:p>
      <w:pPr>
        <w:pStyle w:val="ListNumber"/>
      </w:pPr>
      <w:r>
        <w:t>For a workbook with several worksheets, select the worksheet containing the mapping rows.</w:t>
      </w:r>
    </w:p>
    <w:p>
      <w:pPr>
        <w:pStyle w:val="ListNumber"/>
      </w:pPr>
      <w:r>
        <w:t>Review the rows and, for the first use, run Test CMS connection (read only).</w:t>
      </w:r>
    </w:p>
    <w:p>
      <w:pPr>
        <w:pStyle w:val="ListNumber"/>
      </w:pPr>
      <w:r>
        <w:t>Select Validate and apply mappings to CMS.</w:t>
      </w:r>
    </w:p>
    <w:p>
      <w:pPr>
        <w:pStyle w:val="ListNumber"/>
      </w:pPr>
      <w:r>
        <w:t>Review the results and download CMS_mapping_results.csv.</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shd w:fill="17365D"/>
            <w:tcMar>
              <w:top w:w="100" w:type="dxa"/>
              <w:start w:w="110" w:type="dxa"/>
              <w:bottom w:w="100" w:type="dxa"/>
              <w:end w:w="110" w:type="dxa"/>
            </w:tcMar>
            <w:vAlign w:val="center"/>
          </w:tcPr>
          <w:p>
            <w:pPr>
              <w:jc w:val="center"/>
            </w:pPr>
            <w:r>
              <w:rPr>
                <w:b/>
                <w:color w:val="FFFFFF"/>
                <w:sz w:val="18"/>
              </w:rPr>
              <w:t>Accepted layout</w:t>
            </w:r>
          </w:p>
        </w:tc>
        <w:tc>
          <w:tcPr>
            <w:tcW w:type="dxa" w:w="4176"/>
            <w:shd w:fill="17365D"/>
            <w:tcMar>
              <w:top w:w="100" w:type="dxa"/>
              <w:start w:w="110" w:type="dxa"/>
              <w:bottom w:w="100" w:type="dxa"/>
              <w:end w:w="110" w:type="dxa"/>
            </w:tcMar>
            <w:vAlign w:val="center"/>
          </w:tcPr>
          <w:p>
            <w:pPr>
              <w:jc w:val="center"/>
            </w:pPr>
            <w:r>
              <w:rPr>
                <w:b/>
                <w:color w:val="FFFFFF"/>
                <w:sz w:val="18"/>
              </w:rPr>
              <w:t>Columns</w:t>
            </w:r>
          </w:p>
        </w:tc>
        <w:tc>
          <w:tcPr>
            <w:tcW w:type="dxa" w:w="3960"/>
            <w:shd w:fill="17365D"/>
            <w:tcMar>
              <w:top w:w="100" w:type="dxa"/>
              <w:start w:w="110" w:type="dxa"/>
              <w:bottom w:w="100" w:type="dxa"/>
              <w:end w:w="110" w:type="dxa"/>
            </w:tcMar>
            <w:vAlign w:val="center"/>
          </w:tcPr>
          <w:p>
            <w:pPr>
              <w:jc w:val="center"/>
            </w:pPr>
            <w:r>
              <w:rPr>
                <w:b/>
                <w:color w:val="FFFFFF"/>
                <w:sz w:val="18"/>
              </w:rPr>
              <w:t>How it is processed</w:t>
            </w:r>
          </w:p>
        </w:tc>
      </w:tr>
      <w:tr>
        <w:trPr>
          <w:cantSplit w:val="true"/>
        </w:trPr>
        <w:tc>
          <w:tcPr>
            <w:tcW w:type="dxa" w:w="2232"/>
            <w:tcMar>
              <w:top w:w="100" w:type="dxa"/>
              <w:start w:w="110" w:type="dxa"/>
              <w:bottom w:w="100" w:type="dxa"/>
              <w:end w:w="110" w:type="dxa"/>
            </w:tcMar>
            <w:vAlign w:val="center"/>
          </w:tcPr>
          <w:p>
            <w:pPr>
              <w:spacing w:after="0"/>
            </w:pPr>
            <w:r>
              <w:rPr>
                <w:sz w:val="17"/>
              </w:rPr>
              <w:t>Long format</w:t>
            </w:r>
          </w:p>
        </w:tc>
        <w:tc>
          <w:tcPr>
            <w:tcW w:type="dxa" w:w="4176"/>
            <w:tcMar>
              <w:top w:w="100" w:type="dxa"/>
              <w:start w:w="110" w:type="dxa"/>
              <w:bottom w:w="100" w:type="dxa"/>
              <w:end w:w="110" w:type="dxa"/>
            </w:tcMar>
            <w:vAlign w:val="center"/>
          </w:tcPr>
          <w:p>
            <w:pPr>
              <w:spacing w:after="0"/>
            </w:pPr>
            <w:r>
              <w:rPr>
                <w:sz w:val="17"/>
              </w:rPr>
              <w:t>Question or Project; optional Snippet ID; Mapping Type; Path</w:t>
            </w:r>
          </w:p>
        </w:tc>
        <w:tc>
          <w:tcPr>
            <w:tcW w:type="dxa" w:w="3960"/>
            <w:tcMar>
              <w:top w:w="100" w:type="dxa"/>
              <w:start w:w="110" w:type="dxa"/>
              <w:bottom w:w="100" w:type="dxa"/>
              <w:end w:w="110" w:type="dxa"/>
            </w:tcMar>
            <w:vAlign w:val="center"/>
          </w:tcPr>
          <w:p>
            <w:pPr>
              <w:spacing w:after="0"/>
            </w:pPr>
            <w:r>
              <w:rPr>
                <w:sz w:val="17"/>
              </w:rPr>
              <w:t>One mapping path per row. Mapping Type must be Curriculum or Taxonomy.</w:t>
            </w:r>
          </w:p>
        </w:tc>
      </w:tr>
      <w:tr>
        <w:trPr>
          <w:cantSplit w:val="true"/>
        </w:trPr>
        <w:tc>
          <w:tcPr>
            <w:tcW w:type="dxa" w:w="2232"/>
            <w:shd w:fill="EEF5FB"/>
            <w:tcMar>
              <w:top w:w="100" w:type="dxa"/>
              <w:start w:w="110" w:type="dxa"/>
              <w:bottom w:w="100" w:type="dxa"/>
              <w:end w:w="110" w:type="dxa"/>
            </w:tcMar>
            <w:vAlign w:val="center"/>
          </w:tcPr>
          <w:p>
            <w:pPr>
              <w:spacing w:after="0"/>
            </w:pPr>
            <w:r>
              <w:rPr>
                <w:sz w:val="17"/>
              </w:rPr>
              <w:t>Wide team format</w:t>
            </w:r>
          </w:p>
        </w:tc>
        <w:tc>
          <w:tcPr>
            <w:tcW w:type="dxa" w:w="4176"/>
            <w:shd w:fill="EEF5FB"/>
            <w:tcMar>
              <w:top w:w="100" w:type="dxa"/>
              <w:start w:w="110" w:type="dxa"/>
              <w:bottom w:w="100" w:type="dxa"/>
              <w:end w:w="110" w:type="dxa"/>
            </w:tcMar>
            <w:vAlign w:val="center"/>
          </w:tcPr>
          <w:p>
            <w:pPr>
              <w:spacing w:after="0"/>
            </w:pPr>
            <w:r>
              <w:rPr>
                <w:sz w:val="17"/>
              </w:rPr>
              <w:t>Project with qno or Project; optional Snippet ID; Taxonomy; Curriculum</w:t>
            </w:r>
          </w:p>
        </w:tc>
        <w:tc>
          <w:tcPr>
            <w:tcW w:type="dxa" w:w="3960"/>
            <w:shd w:fill="EEF5FB"/>
            <w:tcMar>
              <w:top w:w="100" w:type="dxa"/>
              <w:start w:w="110" w:type="dxa"/>
              <w:bottom w:w="100" w:type="dxa"/>
              <w:end w:w="110" w:type="dxa"/>
            </w:tcMar>
            <w:vAlign w:val="center"/>
          </w:tcPr>
          <w:p>
            <w:pPr>
              <w:spacing w:after="0"/>
            </w:pPr>
            <w:r>
              <w:rPr>
                <w:sz w:val="17"/>
              </w:rPr>
              <w:t>Each non-empty Taxonomy/Curriculum cell is expanded into mapping rows.</w:t>
            </w:r>
          </w:p>
        </w:tc>
      </w:tr>
      <w:tr>
        <w:trPr>
          <w:cantSplit w:val="true"/>
        </w:trPr>
        <w:tc>
          <w:tcPr>
            <w:tcW w:type="dxa" w:w="2232"/>
            <w:tcMar>
              <w:top w:w="100" w:type="dxa"/>
              <w:start w:w="110" w:type="dxa"/>
              <w:bottom w:w="100" w:type="dxa"/>
              <w:end w:w="110" w:type="dxa"/>
            </w:tcMar>
            <w:vAlign w:val="center"/>
          </w:tcPr>
          <w:p>
            <w:pPr>
              <w:spacing w:after="0"/>
            </w:pPr>
            <w:r>
              <w:rPr>
                <w:sz w:val="17"/>
              </w:rPr>
              <w:t>Wide snippet-only format</w:t>
            </w:r>
          </w:p>
        </w:tc>
        <w:tc>
          <w:tcPr>
            <w:tcW w:type="dxa" w:w="4176"/>
            <w:tcMar>
              <w:top w:w="100" w:type="dxa"/>
              <w:start w:w="110" w:type="dxa"/>
              <w:bottom w:w="100" w:type="dxa"/>
              <w:end w:w="110" w:type="dxa"/>
            </w:tcMar>
            <w:vAlign w:val="center"/>
          </w:tcPr>
          <w:p>
            <w:pPr>
              <w:spacing w:after="0"/>
            </w:pPr>
            <w:r>
              <w:rPr>
                <w:sz w:val="17"/>
              </w:rPr>
              <w:t>Snippet ID; Taxonomy; Curriculum</w:t>
            </w:r>
          </w:p>
        </w:tc>
        <w:tc>
          <w:tcPr>
            <w:tcW w:type="dxa" w:w="3960"/>
            <w:tcMar>
              <w:top w:w="100" w:type="dxa"/>
              <w:start w:w="110" w:type="dxa"/>
              <w:bottom w:w="100" w:type="dxa"/>
              <w:end w:w="110" w:type="dxa"/>
            </w:tcMar>
            <w:vAlign w:val="center"/>
          </w:tcPr>
          <w:p>
            <w:pPr>
              <w:spacing w:after="0"/>
            </w:pPr>
            <w:r>
              <w:rPr>
                <w:sz w:val="17"/>
              </w:rPr>
              <w:t>The supplied snippet identifies the CMS question.</w:t>
            </w:r>
          </w:p>
        </w:tc>
      </w:tr>
      <w:tr>
        <w:trPr>
          <w:cantSplit w:val="true"/>
        </w:trPr>
        <w:tc>
          <w:tcPr>
            <w:tcW w:type="dxa" w:w="2232"/>
            <w:shd w:fill="EEF5FB"/>
            <w:tcMar>
              <w:top w:w="100" w:type="dxa"/>
              <w:start w:w="110" w:type="dxa"/>
              <w:bottom w:w="100" w:type="dxa"/>
              <w:end w:w="110" w:type="dxa"/>
            </w:tcMar>
            <w:vAlign w:val="center"/>
          </w:tcPr>
          <w:p>
            <w:pPr>
              <w:spacing w:after="0"/>
            </w:pPr>
            <w:r>
              <w:rPr>
                <w:sz w:val="17"/>
              </w:rPr>
              <w:t>Wide project-only format</w:t>
            </w:r>
          </w:p>
        </w:tc>
        <w:tc>
          <w:tcPr>
            <w:tcW w:type="dxa" w:w="4176"/>
            <w:shd w:fill="EEF5FB"/>
            <w:tcMar>
              <w:top w:w="100" w:type="dxa"/>
              <w:start w:w="110" w:type="dxa"/>
              <w:bottom w:w="100" w:type="dxa"/>
              <w:end w:w="110" w:type="dxa"/>
            </w:tcMar>
            <w:vAlign w:val="center"/>
          </w:tcPr>
          <w:p>
            <w:pPr>
              <w:spacing w:after="0"/>
            </w:pPr>
            <w:r>
              <w:rPr>
                <w:sz w:val="17"/>
              </w:rPr>
              <w:t>Project with qno or Project; Taxonomy; Curriculum</w:t>
            </w:r>
          </w:p>
        </w:tc>
        <w:tc>
          <w:tcPr>
            <w:tcW w:type="dxa" w:w="3960"/>
            <w:shd w:fill="EEF5FB"/>
            <w:tcMar>
              <w:top w:w="100" w:type="dxa"/>
              <w:start w:w="110" w:type="dxa"/>
              <w:bottom w:w="100" w:type="dxa"/>
              <w:end w:w="110" w:type="dxa"/>
            </w:tcMar>
            <w:vAlign w:val="center"/>
          </w:tcPr>
          <w:p>
            <w:pPr>
              <w:spacing w:after="0"/>
            </w:pPr>
            <w:r>
              <w:rPr>
                <w:sz w:val="17"/>
              </w:rPr>
              <w:t>The app searches CMS and accepts only one exact question-name match before resolving the snippet ID.</w:t>
            </w:r>
          </w:p>
        </w:tc>
      </w:tr>
    </w:tbl>
    <w:p>
      <w:pPr>
        <w:spacing w:after="0"/>
      </w:pPr>
    </w:p>
    <w:p>
      <w:pPr>
        <w:pStyle w:val="ListBullet"/>
      </w:pPr>
      <w:r>
        <w:t>Column order does not matter. Snippet id, Snippet IDs, Project and Project with qno are recognised heading variants.</w:t>
      </w:r>
    </w:p>
    <w:p>
      <w:pPr>
        <w:pStyle w:val="ListBullet"/>
      </w:pPr>
      <w:r>
        <w:t>Several Curriculum or Taxonomy paths may be placed on separate lines in the same spreadsheet cell.</w:t>
      </w:r>
    </w:p>
    <w:p>
      <w:pPr>
        <w:pStyle w:val="ListBullet"/>
      </w:pPr>
      <w:r>
        <w:t>Every row must provide at least one identifier: a positive Snippet ID or a Project with qno/Project value.</w:t>
      </w:r>
    </w:p>
    <w:p>
      <w:pPr>
        <w:pStyle w:val="ListBullet"/>
      </w:pPr>
      <w:r>
        <w:t>When both identifiers are supplied, the app confirms that the snippet’s exact CMS question name matches the Project value.</w:t>
      </w:r>
    </w:p>
    <w:p>
      <w:pPr>
        <w:pStyle w:val="ListBullet"/>
      </w:pPr>
      <w:r>
        <w:t>Project names, spreadsheet headings and Curriculum/Taxonomy paths are matched without regard to uppercase or lowercase. Spelling and the hierarchy of path levels must still match.</w:t>
      </w:r>
    </w:p>
    <w:p>
      <w:pPr>
        <w:spacing w:before="60" w:after="120"/>
        <w:ind w:left="259" w:right="259"/>
        <w:shd w:fill="DDEBF7"/>
      </w:pPr>
      <w:r>
        <w:rPr>
          <w:b/>
        </w:rPr>
        <w:t xml:space="preserve">Note: </w:t>
      </w:r>
      <w:r>
        <w:t>The CMS pre-check is all-or-nothing. Before saving anything, it checks every snippet and every path. If one item is missing, ambiguous or misspelled, nothing is mapped. For each missing path, the red error names every affected Project with qno and resolved Snippet ID and lists up to three closest paths from the corresponding live CMS tree. Suggestions are never applied automatically.</w:t>
      </w:r>
    </w:p>
    <w:p>
      <w:pPr>
        <w:pStyle w:val="ListBullet"/>
      </w:pPr>
      <w:r>
        <w:t>Existing Curriculum and Taxonomy mappings are retained.</w:t>
      </w:r>
    </w:p>
    <w:p>
      <w:pPr>
        <w:pStyle w:val="ListBullet"/>
      </w:pPr>
      <w:r>
        <w:t>The app adds only missing requested mappings; it never removes or replaces an existing mapping.</w:t>
      </w:r>
    </w:p>
    <w:p>
      <w:pPr>
        <w:pStyle w:val="ListBullet"/>
      </w:pPr>
      <w:r>
        <w:t>A spelling error such as Measuring Temparature fails exact matching. Correct it to the actual CMS path before retrying.</w:t>
      </w:r>
    </w:p>
    <w:p>
      <w:pPr>
        <w:pStyle w:val="ListBullet"/>
      </w:pPr>
      <w:r>
        <w:t>The shared CMS account is stored in Streamlit secrets and is not stored in the uploaded mapping file.</w:t>
      </w:r>
    </w:p>
    <w:p>
      <w:pPr>
        <w:pStyle w:val="Heading1"/>
        <w:keepNext/>
      </w:pPr>
      <w:r>
        <w:t>11. Downloads, verification status and reports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232"/>
            <w:shd w:fill="17365D"/>
            <w:tcMar>
              <w:top w:w="100" w:type="dxa"/>
              <w:start w:w="110" w:type="dxa"/>
              <w:bottom w:w="100" w:type="dxa"/>
              <w:end w:w="110" w:type="dxa"/>
            </w:tcMar>
            <w:vAlign w:val="center"/>
          </w:tcPr>
          <w:p>
            <w:pPr>
              <w:jc w:val="center"/>
            </w:pPr>
            <w:r>
              <w:rPr>
                <w:b/>
                <w:color w:val="FFFFFF"/>
                <w:sz w:val="18"/>
              </w:rPr>
              <w:t>Download</w:t>
            </w:r>
          </w:p>
        </w:tc>
        <w:tc>
          <w:tcPr>
            <w:tcW w:type="dxa" w:w="8136"/>
            <w:shd w:fill="17365D"/>
            <w:tcMar>
              <w:top w:w="100" w:type="dxa"/>
              <w:start w:w="110" w:type="dxa"/>
              <w:bottom w:w="100" w:type="dxa"/>
              <w:end w:w="110" w:type="dxa"/>
            </w:tcMar>
            <w:vAlign w:val="center"/>
          </w:tcPr>
          <w:p>
            <w:pPr>
              <w:jc w:val="center"/>
            </w:pPr>
            <w:r>
              <w:rPr>
                <w:b/>
                <w:color w:val="FFFFFF"/>
                <w:sz w:val="18"/>
              </w:rPr>
              <w:t>Purpose</w:t>
            </w:r>
          </w:p>
        </w:tc>
      </w:tr>
      <w:tr>
        <w:trPr>
          <w:cantSplit w:val="true"/>
        </w:trPr>
        <w:tc>
          <w:tcPr>
            <w:tcW w:type="dxa" w:w="2232"/>
            <w:tcMar>
              <w:top w:w="100" w:type="dxa"/>
              <w:start w:w="110" w:type="dxa"/>
              <w:bottom w:w="100" w:type="dxa"/>
              <w:end w:w="110" w:type="dxa"/>
            </w:tcMar>
            <w:vAlign w:val="center"/>
          </w:tcPr>
          <w:p>
            <w:pPr>
              <w:spacing w:after="0"/>
            </w:pPr>
            <w:r>
              <w:rPr>
                <w:sz w:val="17"/>
              </w:rPr>
              <w:t>Processed DOCX</w:t>
            </w:r>
          </w:p>
        </w:tc>
        <w:tc>
          <w:tcPr>
            <w:tcW w:type="dxa" w:w="8136"/>
            <w:tcMar>
              <w:top w:w="100" w:type="dxa"/>
              <w:start w:w="110" w:type="dxa"/>
              <w:bottom w:w="100" w:type="dxa"/>
              <w:end w:w="110" w:type="dxa"/>
            </w:tcMar>
            <w:vAlign w:val="center"/>
          </w:tcPr>
          <w:p>
            <w:pPr>
              <w:spacing w:after="0"/>
            </w:pPr>
            <w:r>
              <w:rPr>
                <w:sz w:val="17"/>
              </w:rPr>
              <w:t>The selected CMS, image, mathematical, text-formatting and mapping-preparation changes.</w:t>
            </w:r>
          </w:p>
        </w:tc>
      </w:tr>
      <w:tr>
        <w:trPr>
          <w:cantSplit w:val="true"/>
        </w:trPr>
        <w:tc>
          <w:tcPr>
            <w:tcW w:type="dxa" w:w="2232"/>
            <w:shd w:fill="EEF5FB"/>
            <w:tcMar>
              <w:top w:w="100" w:type="dxa"/>
              <w:start w:w="110" w:type="dxa"/>
              <w:bottom w:w="100" w:type="dxa"/>
              <w:end w:w="110" w:type="dxa"/>
            </w:tcMar>
            <w:vAlign w:val="center"/>
          </w:tcPr>
          <w:p>
            <w:pPr>
              <w:spacing w:after="0"/>
            </w:pPr>
            <w:r>
              <w:rPr>
                <w:sz w:val="17"/>
              </w:rPr>
              <w:t>Images ZIP</w:t>
            </w:r>
          </w:p>
        </w:tc>
        <w:tc>
          <w:tcPr>
            <w:tcW w:type="dxa" w:w="8136"/>
            <w:shd w:fill="EEF5FB"/>
            <w:tcMar>
              <w:top w:w="100" w:type="dxa"/>
              <w:start w:w="110" w:type="dxa"/>
              <w:bottom w:w="100" w:type="dxa"/>
              <w:end w:w="110" w:type="dxa"/>
            </w:tcMar>
            <w:vAlign w:val="center"/>
          </w:tcPr>
          <w:p>
            <w:pPr>
              <w:spacing w:after="0"/>
            </w:pPr>
            <w:r>
              <w:rPr>
                <w:sz w:val="17"/>
              </w:rPr>
              <w:t>Extracted GIF assets plus image manifests. Available when image handling is selected.</w:t>
            </w:r>
          </w:p>
        </w:tc>
      </w:tr>
      <w:tr>
        <w:trPr>
          <w:cantSplit w:val="true"/>
        </w:trPr>
        <w:tc>
          <w:tcPr>
            <w:tcW w:type="dxa" w:w="2232"/>
            <w:tcMar>
              <w:top w:w="100" w:type="dxa"/>
              <w:start w:w="110" w:type="dxa"/>
              <w:bottom w:w="100" w:type="dxa"/>
              <w:end w:w="110" w:type="dxa"/>
            </w:tcMar>
            <w:vAlign w:val="center"/>
          </w:tcPr>
          <w:p>
            <w:pPr>
              <w:spacing w:after="0"/>
            </w:pPr>
            <w:r>
              <w:rPr>
                <w:sz w:val="17"/>
              </w:rPr>
              <w:t>Mapping CSV</w:t>
            </w:r>
          </w:p>
        </w:tc>
        <w:tc>
          <w:tcPr>
            <w:tcW w:type="dxa" w:w="8136"/>
            <w:tcMar>
              <w:top w:w="100" w:type="dxa"/>
              <w:start w:w="110" w:type="dxa"/>
              <w:bottom w:w="100" w:type="dxa"/>
              <w:end w:w="110" w:type="dxa"/>
            </w:tcMar>
            <w:vAlign w:val="center"/>
          </w:tcPr>
          <w:p>
            <w:pPr>
              <w:spacing w:after="0"/>
            </w:pPr>
            <w:r>
              <w:rPr>
                <w:sz w:val="17"/>
              </w:rPr>
              <w:t>Question/snippet/path rows prepared from the Word document. Available when mapping preparation is selected.</w:t>
            </w:r>
          </w:p>
        </w:tc>
      </w:tr>
      <w:tr>
        <w:trPr>
          <w:cantSplit w:val="true"/>
        </w:trPr>
        <w:tc>
          <w:tcPr>
            <w:tcW w:type="dxa" w:w="2232"/>
            <w:shd w:fill="EEF5FB"/>
            <w:tcMar>
              <w:top w:w="100" w:type="dxa"/>
              <w:start w:w="110" w:type="dxa"/>
              <w:bottom w:w="100" w:type="dxa"/>
              <w:end w:w="110" w:type="dxa"/>
            </w:tcMar>
            <w:vAlign w:val="center"/>
          </w:tcPr>
          <w:p>
            <w:pPr>
              <w:spacing w:after="0"/>
            </w:pPr>
            <w:r>
              <w:rPr>
                <w:sz w:val="17"/>
              </w:rPr>
              <w:t>JSON audit report</w:t>
            </w:r>
          </w:p>
        </w:tc>
        <w:tc>
          <w:tcPr>
            <w:tcW w:type="dxa" w:w="8136"/>
            <w:shd w:fill="EEF5FB"/>
            <w:tcMar>
              <w:top w:w="100" w:type="dxa"/>
              <w:start w:w="110" w:type="dxa"/>
              <w:bottom w:w="100" w:type="dxa"/>
              <w:end w:w="110" w:type="dxa"/>
            </w:tcMar>
            <w:vAlign w:val="center"/>
          </w:tcPr>
          <w:p>
            <w:pPr>
              <w:spacing w:after="0"/>
            </w:pPr>
            <w:r>
              <w:rPr>
                <w:sz w:val="17"/>
              </w:rPr>
              <w:t>Machine-readable evidence of selected options, IDs, counts, status, findings and server-side output references.</w:t>
            </w:r>
          </w:p>
        </w:tc>
      </w:tr>
    </w:tbl>
    <w:p>
      <w:pPr>
        <w:spacing w:after="0"/>
      </w:pPr>
    </w:p>
    <w:p>
      <w:r>
        <w:t>The download buttons appear above the reports and remain available after processing. Download all required outputs before closing the page; Streamlit Community Cloud storage is not the team’s permanent archive.</w:t>
      </w:r>
    </w:p>
    <w:p>
      <w:pPr>
        <w:pStyle w:val="Heading2"/>
        <w:keepNext/>
      </w:pPr>
      <w:r>
        <w:t>Verification statuses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520"/>
            <w:shd w:fill="17365D"/>
            <w:tcMar>
              <w:top w:w="100" w:type="dxa"/>
              <w:start w:w="110" w:type="dxa"/>
              <w:bottom w:w="100" w:type="dxa"/>
              <w:end w:w="110" w:type="dxa"/>
            </w:tcMar>
            <w:vAlign w:val="center"/>
          </w:tcPr>
          <w:p>
            <w:pPr>
              <w:jc w:val="center"/>
            </w:pPr>
            <w:r>
              <w:rPr>
                <w:b/>
                <w:color w:val="FFFFFF"/>
                <w:sz w:val="18"/>
              </w:rPr>
              <w:t>Status</w:t>
            </w:r>
          </w:p>
        </w:tc>
        <w:tc>
          <w:tcPr>
            <w:tcW w:type="dxa" w:w="4680"/>
            <w:shd w:fill="17365D"/>
            <w:tcMar>
              <w:top w:w="100" w:type="dxa"/>
              <w:start w:w="110" w:type="dxa"/>
              <w:bottom w:w="100" w:type="dxa"/>
              <w:end w:w="110" w:type="dxa"/>
            </w:tcMar>
            <w:vAlign w:val="center"/>
          </w:tcPr>
          <w:p>
            <w:pPr>
              <w:jc w:val="center"/>
            </w:pPr>
            <w:r>
              <w:rPr>
                <w:b/>
                <w:color w:val="FFFFFF"/>
                <w:sz w:val="18"/>
              </w:rPr>
              <w:t>Meaning</w:t>
            </w:r>
          </w:p>
        </w:tc>
        <w:tc>
          <w:tcPr>
            <w:tcW w:type="dxa" w:w="3168"/>
            <w:shd w:fill="17365D"/>
            <w:tcMar>
              <w:top w:w="100" w:type="dxa"/>
              <w:start w:w="110" w:type="dxa"/>
              <w:bottom w:w="100" w:type="dxa"/>
              <w:end w:w="110" w:type="dxa"/>
            </w:tcMar>
            <w:vAlign w:val="center"/>
          </w:tcPr>
          <w:p>
            <w:pPr>
              <w:jc w:val="center"/>
            </w:pPr>
            <w:r>
              <w:rPr>
                <w:b/>
                <w:color w:val="FFFFFF"/>
                <w:sz w:val="18"/>
              </w:rPr>
              <w:t>What to do</w:t>
            </w:r>
          </w:p>
        </w:tc>
      </w:tr>
      <w:tr>
        <w:trPr>
          <w:cantSplit w:val="true"/>
        </w:trPr>
        <w:tc>
          <w:tcPr>
            <w:tcW w:type="dxa" w:w="2520"/>
            <w:tcMar>
              <w:top w:w="100" w:type="dxa"/>
              <w:start w:w="110" w:type="dxa"/>
              <w:bottom w:w="100" w:type="dxa"/>
              <w:end w:w="110" w:type="dxa"/>
            </w:tcMar>
            <w:vAlign w:val="center"/>
          </w:tcPr>
          <w:p>
            <w:pPr>
              <w:spacing w:after="0"/>
            </w:pPr>
            <w:r>
              <w:rPr>
                <w:sz w:val="17"/>
              </w:rPr>
              <w:t>READY_FOR_VERIFICATION</w:t>
            </w:r>
          </w:p>
        </w:tc>
        <w:tc>
          <w:tcPr>
            <w:tcW w:type="dxa" w:w="4680"/>
            <w:tcMar>
              <w:top w:w="100" w:type="dxa"/>
              <w:start w:w="110" w:type="dxa"/>
              <w:bottom w:w="100" w:type="dxa"/>
              <w:end w:w="110" w:type="dxa"/>
            </w:tcMar>
            <w:vAlign w:val="center"/>
          </w:tcPr>
          <w:p>
            <w:pPr>
              <w:spacing w:after="0"/>
            </w:pPr>
            <w:r>
              <w:rPr>
                <w:sz w:val="17"/>
              </w:rPr>
              <w:t>No unresolved manual-review findings were detected.</w:t>
            </w:r>
          </w:p>
        </w:tc>
        <w:tc>
          <w:tcPr>
            <w:tcW w:type="dxa" w:w="3168"/>
            <w:tcMar>
              <w:top w:w="100" w:type="dxa"/>
              <w:start w:w="110" w:type="dxa"/>
              <w:bottom w:w="100" w:type="dxa"/>
              <w:end w:w="110" w:type="dxa"/>
            </w:tcMar>
            <w:vAlign w:val="center"/>
          </w:tcPr>
          <w:p>
            <w:pPr>
              <w:spacing w:after="0"/>
            </w:pPr>
            <w:r>
              <w:rPr>
                <w:sz w:val="17"/>
              </w:rPr>
              <w:t>Continue to CMS upload and verification.</w:t>
            </w:r>
          </w:p>
        </w:tc>
      </w:tr>
      <w:tr>
        <w:trPr>
          <w:cantSplit w:val="true"/>
        </w:trPr>
        <w:tc>
          <w:tcPr>
            <w:tcW w:type="dxa" w:w="2520"/>
            <w:shd w:fill="EEF5FB"/>
            <w:tcMar>
              <w:top w:w="100" w:type="dxa"/>
              <w:start w:w="110" w:type="dxa"/>
              <w:bottom w:w="100" w:type="dxa"/>
              <w:end w:w="110" w:type="dxa"/>
            </w:tcMar>
            <w:vAlign w:val="center"/>
          </w:tcPr>
          <w:p>
            <w:pPr>
              <w:spacing w:after="0"/>
            </w:pPr>
            <w:r>
              <w:rPr>
                <w:sz w:val="17"/>
              </w:rPr>
              <w:t>PENDING_MANUAL_REVIEW</w:t>
            </w:r>
          </w:p>
        </w:tc>
        <w:tc>
          <w:tcPr>
            <w:tcW w:type="dxa" w:w="4680"/>
            <w:shd w:fill="EEF5FB"/>
            <w:tcMar>
              <w:top w:w="100" w:type="dxa"/>
              <w:start w:w="110" w:type="dxa"/>
              <w:bottom w:w="100" w:type="dxa"/>
              <w:end w:w="110" w:type="dxa"/>
            </w:tcMar>
            <w:vAlign w:val="center"/>
          </w:tcPr>
          <w:p>
            <w:pPr>
              <w:spacing w:after="0"/>
            </w:pPr>
            <w:r>
              <w:rPr>
                <w:sz w:val="17"/>
              </w:rPr>
              <w:t>At least one item needs a person to check; outputs are still available.</w:t>
            </w:r>
          </w:p>
        </w:tc>
        <w:tc>
          <w:tcPr>
            <w:tcW w:type="dxa" w:w="3168"/>
            <w:shd w:fill="EEF5FB"/>
            <w:tcMar>
              <w:top w:w="100" w:type="dxa"/>
              <w:start w:w="110" w:type="dxa"/>
              <w:bottom w:w="100" w:type="dxa"/>
              <w:end w:w="110" w:type="dxa"/>
            </w:tcMar>
            <w:vAlign w:val="center"/>
          </w:tcPr>
          <w:p>
            <w:pPr>
              <w:spacing w:after="0"/>
            </w:pPr>
            <w:r>
              <w:rPr>
                <w:sz w:val="17"/>
              </w:rPr>
              <w:t>Resolve the Action required list before final CMS upload.</w:t>
            </w:r>
          </w:p>
        </w:tc>
      </w:tr>
      <w:tr>
        <w:trPr>
          <w:cantSplit w:val="true"/>
        </w:trPr>
        <w:tc>
          <w:tcPr>
            <w:tcW w:type="dxa" w:w="2520"/>
            <w:tcMar>
              <w:top w:w="100" w:type="dxa"/>
              <w:start w:w="110" w:type="dxa"/>
              <w:bottom w:w="100" w:type="dxa"/>
              <w:end w:w="110" w:type="dxa"/>
            </w:tcMar>
            <w:vAlign w:val="center"/>
          </w:tcPr>
          <w:p>
            <w:pPr>
              <w:spacing w:after="0"/>
            </w:pPr>
            <w:r>
              <w:rPr>
                <w:sz w:val="17"/>
              </w:rPr>
              <w:t>BLOCKED_NUMBERING_ERROR</w:t>
            </w:r>
          </w:p>
        </w:tc>
        <w:tc>
          <w:tcPr>
            <w:tcW w:type="dxa" w:w="4680"/>
            <w:tcMar>
              <w:top w:w="100" w:type="dxa"/>
              <w:start w:w="110" w:type="dxa"/>
              <w:bottom w:w="100" w:type="dxa"/>
              <w:end w:w="110" w:type="dxa"/>
            </w:tcMar>
            <w:vAlign w:val="center"/>
          </w:tcPr>
          <w:p>
            <w:pPr>
              <w:spacing w:after="0"/>
            </w:pPr>
            <w:r>
              <w:rPr>
                <w:sz w:val="17"/>
              </w:rPr>
              <w:t>Duplicate, missing or out-of-order source question headings were found.</w:t>
            </w:r>
          </w:p>
        </w:tc>
        <w:tc>
          <w:tcPr>
            <w:tcW w:type="dxa" w:w="3168"/>
            <w:tcMar>
              <w:top w:w="100" w:type="dxa"/>
              <w:start w:w="110" w:type="dxa"/>
              <w:bottom w:w="100" w:type="dxa"/>
              <w:end w:w="110" w:type="dxa"/>
            </w:tcMar>
            <w:vAlign w:val="center"/>
          </w:tcPr>
          <w:p>
            <w:pPr>
              <w:spacing w:after="0"/>
            </w:pPr>
            <w:r>
              <w:rPr>
                <w:sz w:val="17"/>
              </w:rPr>
              <w:t>Correct the source numbering and process again. CMS-ready DOCX, images ZIP and mapping CSV are withheld.</w:t>
            </w:r>
          </w:p>
        </w:tc>
      </w:tr>
    </w:tbl>
    <w:p>
      <w:pPr>
        <w:spacing w:after="0"/>
      </w:pPr>
    </w:p>
    <w:p>
      <w:pPr>
        <w:pStyle w:val="Heading2"/>
        <w:keepNext/>
      </w:pPr>
      <w:r>
        <w:t>Action required and the full Verification report</w:t>
      </w:r>
    </w:p>
    <w:p>
      <w:pPr>
        <w:pStyle w:val="ListBullet"/>
      </w:pPr>
      <w:r>
        <w:t>Action required before CMS upload is the short unresolved list. Work through it first.</w:t>
      </w:r>
    </w:p>
    <w:p>
      <w:pPr>
        <w:pStyle w:val="ListBullet"/>
      </w:pPr>
      <w:r>
        <w:t>Verification report is the complete list of passed checks, automatic fixes and manual-review findings.</w:t>
      </w:r>
    </w:p>
    <w:p>
      <w:pPr>
        <w:pStyle w:val="ListBullet"/>
      </w:pPr>
      <w:r>
        <w:t>Automatic fixes counts finding records, not individual character-level edits. One row may say that nine images were extracted or several spaces were normalised and still count as one automatic fix.</w:t>
      </w:r>
    </w:p>
    <w:p>
      <w:pPr>
        <w:pStyle w:val="ListBullet"/>
      </w:pPr>
      <w:r>
        <w:t>The JSON audit report contains the same findings plus processing options, build ID, run reference, file references, counts and prepared mappings. It is useful for audit, support and repeatable troubleshooting; it is not uploaded into the question editor.</w:t>
      </w:r>
    </w:p>
    <w:p>
      <w:pPr>
        <w:pStyle w:val="Heading2"/>
        <w:keepNext/>
      </w:pPr>
      <w:r>
        <w:t>Rule numbers in the report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152"/>
            <w:shd w:fill="17365D"/>
            <w:tcMar>
              <w:top w:w="100" w:type="dxa"/>
              <w:start w:w="110" w:type="dxa"/>
              <w:bottom w:w="100" w:type="dxa"/>
              <w:end w:w="110" w:type="dxa"/>
            </w:tcMar>
            <w:vAlign w:val="center"/>
          </w:tcPr>
          <w:p>
            <w:pPr>
              <w:jc w:val="center"/>
            </w:pPr>
            <w:r>
              <w:rPr>
                <w:b/>
                <w:color w:val="FFFFFF"/>
                <w:sz w:val="18"/>
              </w:rPr>
              <w:t>Rule</w:t>
            </w:r>
          </w:p>
        </w:tc>
        <w:tc>
          <w:tcPr>
            <w:tcW w:type="dxa" w:w="9216"/>
            <w:shd w:fill="17365D"/>
            <w:tcMar>
              <w:top w:w="100" w:type="dxa"/>
              <w:start w:w="110" w:type="dxa"/>
              <w:bottom w:w="100" w:type="dxa"/>
              <w:end w:w="110" w:type="dxa"/>
            </w:tcMar>
            <w:vAlign w:val="center"/>
          </w:tcPr>
          <w:p>
            <w:pPr>
              <w:jc w:val="center"/>
            </w:pPr>
            <w:r>
              <w:rPr>
                <w:b/>
                <w:color w:val="FFFFFF"/>
                <w:sz w:val="18"/>
              </w:rPr>
              <w:t>Area</w:t>
            </w:r>
          </w:p>
        </w:tc>
      </w:tr>
      <w:tr>
        <w:trPr>
          <w:cantSplit w:val="true"/>
        </w:trPr>
        <w:tc>
          <w:tcPr>
            <w:tcW w:type="dxa" w:w="1152"/>
            <w:tcMar>
              <w:top w:w="100" w:type="dxa"/>
              <w:start w:w="110" w:type="dxa"/>
              <w:bottom w:w="100" w:type="dxa"/>
              <w:end w:w="110" w:type="dxa"/>
            </w:tcMar>
            <w:vAlign w:val="center"/>
          </w:tcPr>
          <w:p>
            <w:pPr>
              <w:spacing w:after="0"/>
            </w:pPr>
            <w:r>
              <w:rPr>
                <w:sz w:val="17"/>
              </w:rPr>
              <w:t>0</w:t>
            </w:r>
          </w:p>
        </w:tc>
        <w:tc>
          <w:tcPr>
            <w:tcW w:type="dxa" w:w="9216"/>
            <w:tcMar>
              <w:top w:w="100" w:type="dxa"/>
              <w:start w:w="110" w:type="dxa"/>
              <w:bottom w:w="100" w:type="dxa"/>
              <w:end w:w="110" w:type="dxa"/>
            </w:tcMar>
            <w:vAlign w:val="center"/>
          </w:tcPr>
          <w:p>
            <w:pPr>
              <w:spacing w:after="0"/>
            </w:pPr>
            <w:r>
              <w:rPr>
                <w:sz w:val="17"/>
              </w:rPr>
              <w:t>General structure, tags, IDs, images and general processing events</w:t>
            </w:r>
          </w:p>
        </w:tc>
      </w:tr>
      <w:tr>
        <w:trPr>
          <w:cantSplit w:val="true"/>
        </w:trPr>
        <w:tc>
          <w:tcPr>
            <w:tcW w:type="dxa" w:w="1152"/>
            <w:shd w:fill="EEF5FB"/>
            <w:tcMar>
              <w:top w:w="100" w:type="dxa"/>
              <w:start w:w="110" w:type="dxa"/>
              <w:bottom w:w="100" w:type="dxa"/>
              <w:end w:w="110" w:type="dxa"/>
            </w:tcMar>
            <w:vAlign w:val="center"/>
          </w:tcPr>
          <w:p>
            <w:pPr>
              <w:spacing w:after="0"/>
            </w:pPr>
            <w:r>
              <w:rPr>
                <w:sz w:val="17"/>
              </w:rPr>
              <w:t>1</w:t>
            </w:r>
          </w:p>
        </w:tc>
        <w:tc>
          <w:tcPr>
            <w:tcW w:type="dxa" w:w="9216"/>
            <w:shd w:fill="EEF5FB"/>
            <w:tcMar>
              <w:top w:w="100" w:type="dxa"/>
              <w:start w:w="110" w:type="dxa"/>
              <w:bottom w:w="100" w:type="dxa"/>
              <w:end w:w="110" w:type="dxa"/>
            </w:tcMar>
            <w:vAlign w:val="center"/>
          </w:tcPr>
          <w:p>
            <w:pPr>
              <w:spacing w:after="0"/>
            </w:pPr>
            <w:r>
              <w:rPr>
                <w:sz w:val="17"/>
              </w:rPr>
              <w:t>Whole-block bold and required Solution handling</w:t>
            </w:r>
          </w:p>
        </w:tc>
      </w:tr>
      <w:tr>
        <w:trPr>
          <w:cantSplit w:val="true"/>
        </w:trPr>
        <w:tc>
          <w:tcPr>
            <w:tcW w:type="dxa" w:w="1152"/>
            <w:tcMar>
              <w:top w:w="100" w:type="dxa"/>
              <w:start w:w="110" w:type="dxa"/>
              <w:bottom w:w="100" w:type="dxa"/>
              <w:end w:w="110" w:type="dxa"/>
            </w:tcMar>
            <w:vAlign w:val="center"/>
          </w:tcPr>
          <w:p>
            <w:pPr>
              <w:spacing w:after="0"/>
            </w:pPr>
            <w:r>
              <w:rPr>
                <w:sz w:val="17"/>
              </w:rPr>
              <w:t>2</w:t>
            </w:r>
          </w:p>
        </w:tc>
        <w:tc>
          <w:tcPr>
            <w:tcW w:type="dxa" w:w="9216"/>
            <w:tcMar>
              <w:top w:w="100" w:type="dxa"/>
              <w:start w:w="110" w:type="dxa"/>
              <w:bottom w:w="100" w:type="dxa"/>
              <w:end w:w="110" w:type="dxa"/>
            </w:tcMar>
            <w:vAlign w:val="center"/>
          </w:tcPr>
          <w:p>
            <w:pPr>
              <w:spacing w:after="0"/>
            </w:pPr>
            <w:r>
              <w:rPr>
                <w:sz w:val="17"/>
              </w:rPr>
              <w:t>Equation preservation and ambiguous mathematical notation</w:t>
            </w:r>
          </w:p>
        </w:tc>
      </w:tr>
      <w:tr>
        <w:trPr>
          <w:cantSplit w:val="true"/>
        </w:trPr>
        <w:tc>
          <w:tcPr>
            <w:tcW w:type="dxa" w:w="1152"/>
            <w:shd w:fill="EEF5FB"/>
            <w:tcMar>
              <w:top w:w="100" w:type="dxa"/>
              <w:start w:w="110" w:type="dxa"/>
              <w:bottom w:w="100" w:type="dxa"/>
              <w:end w:w="110" w:type="dxa"/>
            </w:tcMar>
            <w:vAlign w:val="center"/>
          </w:tcPr>
          <w:p>
            <w:pPr>
              <w:spacing w:after="0"/>
            </w:pPr>
            <w:r>
              <w:rPr>
                <w:sz w:val="17"/>
              </w:rPr>
              <w:t>3</w:t>
            </w:r>
          </w:p>
        </w:tc>
        <w:tc>
          <w:tcPr>
            <w:tcW w:type="dxa" w:w="9216"/>
            <w:shd w:fill="EEF5FB"/>
            <w:tcMar>
              <w:top w:w="100" w:type="dxa"/>
              <w:start w:w="110" w:type="dxa"/>
              <w:bottom w:w="100" w:type="dxa"/>
              <w:end w:w="110" w:type="dxa"/>
            </w:tcMar>
            <w:vAlign w:val="center"/>
          </w:tcPr>
          <w:p>
            <w:pPr>
              <w:spacing w:after="0"/>
            </w:pPr>
            <w:r>
              <w:rPr>
                <w:sz w:val="17"/>
              </w:rPr>
              <w:t>Variable and geometry-label italics</w:t>
            </w:r>
          </w:p>
        </w:tc>
      </w:tr>
      <w:tr>
        <w:trPr>
          <w:cantSplit w:val="true"/>
        </w:trPr>
        <w:tc>
          <w:tcPr>
            <w:tcW w:type="dxa" w:w="1152"/>
            <w:tcMar>
              <w:top w:w="100" w:type="dxa"/>
              <w:start w:w="110" w:type="dxa"/>
              <w:bottom w:w="100" w:type="dxa"/>
              <w:end w:w="110" w:type="dxa"/>
            </w:tcMar>
            <w:vAlign w:val="center"/>
          </w:tcPr>
          <w:p>
            <w:pPr>
              <w:spacing w:after="0"/>
            </w:pPr>
            <w:r>
              <w:rPr>
                <w:sz w:val="17"/>
              </w:rPr>
              <w:t>4</w:t>
            </w:r>
          </w:p>
        </w:tc>
        <w:tc>
          <w:tcPr>
            <w:tcW w:type="dxa" w:w="9216"/>
            <w:tcMar>
              <w:top w:w="100" w:type="dxa"/>
              <w:start w:w="110" w:type="dxa"/>
              <w:bottom w:w="100" w:type="dxa"/>
              <w:end w:w="110" w:type="dxa"/>
            </w:tcMar>
            <w:vAlign w:val="center"/>
          </w:tcPr>
          <w:p>
            <w:pPr>
              <w:spacing w:after="0"/>
            </w:pPr>
            <w:r>
              <w:rPr>
                <w:sz w:val="17"/>
              </w:rPr>
              <w:t>Blank equation templates and general spacing</w:t>
            </w:r>
          </w:p>
        </w:tc>
      </w:tr>
      <w:tr>
        <w:trPr>
          <w:cantSplit w:val="true"/>
        </w:trPr>
        <w:tc>
          <w:tcPr>
            <w:tcW w:type="dxa" w:w="1152"/>
            <w:shd w:fill="EEF5FB"/>
            <w:tcMar>
              <w:top w:w="100" w:type="dxa"/>
              <w:start w:w="110" w:type="dxa"/>
              <w:bottom w:w="100" w:type="dxa"/>
              <w:end w:w="110" w:type="dxa"/>
            </w:tcMar>
            <w:vAlign w:val="center"/>
          </w:tcPr>
          <w:p>
            <w:pPr>
              <w:spacing w:after="0"/>
            </w:pPr>
            <w:r>
              <w:rPr>
                <w:sz w:val="17"/>
              </w:rPr>
              <w:t>5</w:t>
            </w:r>
          </w:p>
        </w:tc>
        <w:tc>
          <w:tcPr>
            <w:tcW w:type="dxa" w:w="9216"/>
            <w:shd w:fill="EEF5FB"/>
            <w:tcMar>
              <w:top w:w="100" w:type="dxa"/>
              <w:start w:w="110" w:type="dxa"/>
              <w:bottom w:w="100" w:type="dxa"/>
              <w:end w:w="110" w:type="dxa"/>
            </w:tcMar>
            <w:vAlign w:val="center"/>
          </w:tcPr>
          <w:p>
            <w:pPr>
              <w:spacing w:after="0"/>
            </w:pPr>
            <w:r>
              <w:rPr>
                <w:sz w:val="17"/>
              </w:rPr>
              <w:t>Equals-sign and operator spacing</w:t>
            </w:r>
          </w:p>
        </w:tc>
      </w:tr>
      <w:tr>
        <w:trPr>
          <w:cantSplit w:val="true"/>
        </w:trPr>
        <w:tc>
          <w:tcPr>
            <w:tcW w:type="dxa" w:w="1152"/>
            <w:tcMar>
              <w:top w:w="100" w:type="dxa"/>
              <w:start w:w="110" w:type="dxa"/>
              <w:bottom w:w="100" w:type="dxa"/>
              <w:end w:w="110" w:type="dxa"/>
            </w:tcMar>
            <w:vAlign w:val="center"/>
          </w:tcPr>
          <w:p>
            <w:pPr>
              <w:spacing w:after="0"/>
            </w:pPr>
            <w:r>
              <w:rPr>
                <w:sz w:val="17"/>
              </w:rPr>
              <w:t>6</w:t>
            </w:r>
          </w:p>
        </w:tc>
        <w:tc>
          <w:tcPr>
            <w:tcW w:type="dxa" w:w="9216"/>
            <w:tcMar>
              <w:top w:w="100" w:type="dxa"/>
              <w:start w:w="110" w:type="dxa"/>
              <w:bottom w:w="100" w:type="dxa"/>
              <w:end w:w="110" w:type="dxa"/>
            </w:tcMar>
            <w:vAlign w:val="center"/>
          </w:tcPr>
          <w:p>
            <w:pPr>
              <w:spacing w:after="0"/>
            </w:pPr>
            <w:r>
              <w:rPr>
                <w:sz w:val="17"/>
              </w:rPr>
              <w:t>Comma spacing</w:t>
            </w:r>
          </w:p>
        </w:tc>
      </w:tr>
      <w:tr>
        <w:trPr>
          <w:cantSplit w:val="true"/>
        </w:trPr>
        <w:tc>
          <w:tcPr>
            <w:tcW w:type="dxa" w:w="1152"/>
            <w:shd w:fill="EEF5FB"/>
            <w:tcMar>
              <w:top w:w="100" w:type="dxa"/>
              <w:start w:w="110" w:type="dxa"/>
              <w:bottom w:w="100" w:type="dxa"/>
              <w:end w:w="110" w:type="dxa"/>
            </w:tcMar>
            <w:vAlign w:val="center"/>
          </w:tcPr>
          <w:p>
            <w:pPr>
              <w:spacing w:after="0"/>
            </w:pPr>
            <w:r>
              <w:rPr>
                <w:sz w:val="17"/>
              </w:rPr>
              <w:t>7</w:t>
            </w:r>
          </w:p>
        </w:tc>
        <w:tc>
          <w:tcPr>
            <w:tcW w:type="dxa" w:w="9216"/>
            <w:shd w:fill="EEF5FB"/>
            <w:tcMar>
              <w:top w:w="100" w:type="dxa"/>
              <w:start w:w="110" w:type="dxa"/>
              <w:bottom w:w="100" w:type="dxa"/>
              <w:end w:w="110" w:type="dxa"/>
            </w:tcMar>
            <w:vAlign w:val="center"/>
          </w:tcPr>
          <w:p>
            <w:pPr>
              <w:spacing w:after="0"/>
            </w:pPr>
            <w:r>
              <w:rPr>
                <w:sz w:val="17"/>
              </w:rPr>
              <w:t>Slash fractions</w:t>
            </w:r>
          </w:p>
        </w:tc>
      </w:tr>
      <w:tr>
        <w:trPr>
          <w:cantSplit w:val="true"/>
        </w:trPr>
        <w:tc>
          <w:tcPr>
            <w:tcW w:type="dxa" w:w="1152"/>
            <w:tcMar>
              <w:top w:w="100" w:type="dxa"/>
              <w:start w:w="110" w:type="dxa"/>
              <w:bottom w:w="100" w:type="dxa"/>
              <w:end w:w="110" w:type="dxa"/>
            </w:tcMar>
            <w:vAlign w:val="center"/>
          </w:tcPr>
          <w:p>
            <w:pPr>
              <w:spacing w:after="0"/>
            </w:pPr>
            <w:r>
              <w:rPr>
                <w:sz w:val="17"/>
              </w:rPr>
              <w:t>8</w:t>
            </w:r>
          </w:p>
        </w:tc>
        <w:tc>
          <w:tcPr>
            <w:tcW w:type="dxa" w:w="9216"/>
            <w:tcMar>
              <w:top w:w="100" w:type="dxa"/>
              <w:start w:w="110" w:type="dxa"/>
              <w:bottom w:w="100" w:type="dxa"/>
              <w:end w:w="110" w:type="dxa"/>
            </w:tcMar>
            <w:vAlign w:val="center"/>
          </w:tcPr>
          <w:p>
            <w:pPr>
              <w:spacing w:after="0"/>
            </w:pPr>
            <w:r>
              <w:rPr>
                <w:sz w:val="17"/>
              </w:rPr>
              <w:t>Answers/Choices block structure</w:t>
            </w:r>
          </w:p>
        </w:tc>
      </w:tr>
      <w:tr>
        <w:trPr>
          <w:cantSplit w:val="true"/>
        </w:trPr>
        <w:tc>
          <w:tcPr>
            <w:tcW w:type="dxa" w:w="1152"/>
            <w:shd w:fill="EEF5FB"/>
            <w:tcMar>
              <w:top w:w="100" w:type="dxa"/>
              <w:start w:w="110" w:type="dxa"/>
              <w:bottom w:w="100" w:type="dxa"/>
              <w:end w:w="110" w:type="dxa"/>
            </w:tcMar>
            <w:vAlign w:val="center"/>
          </w:tcPr>
          <w:p>
            <w:pPr>
              <w:spacing w:after="0"/>
            </w:pPr>
            <w:r>
              <w:rPr>
                <w:sz w:val="17"/>
              </w:rPr>
              <w:t>9</w:t>
            </w:r>
          </w:p>
        </w:tc>
        <w:tc>
          <w:tcPr>
            <w:tcW w:type="dxa" w:w="9216"/>
            <w:shd w:fill="EEF5FB"/>
            <w:tcMar>
              <w:top w:w="100" w:type="dxa"/>
              <w:start w:w="110" w:type="dxa"/>
              <w:bottom w:w="100" w:type="dxa"/>
              <w:end w:w="110" w:type="dxa"/>
            </w:tcMar>
            <w:vAlign w:val="center"/>
          </w:tcPr>
          <w:p>
            <w:pPr>
              <w:spacing w:after="0"/>
            </w:pPr>
            <w:r>
              <w:rPr>
                <w:sz w:val="17"/>
              </w:rPr>
              <w:t>Subpart numbering</w:t>
            </w:r>
          </w:p>
        </w:tc>
      </w:tr>
      <w:tr>
        <w:trPr>
          <w:cantSplit w:val="true"/>
        </w:trPr>
        <w:tc>
          <w:tcPr>
            <w:tcW w:type="dxa" w:w="1152"/>
            <w:tcMar>
              <w:top w:w="100" w:type="dxa"/>
              <w:start w:w="110" w:type="dxa"/>
              <w:bottom w:w="100" w:type="dxa"/>
              <w:end w:w="110" w:type="dxa"/>
            </w:tcMar>
            <w:vAlign w:val="center"/>
          </w:tcPr>
          <w:p>
            <w:pPr>
              <w:spacing w:after="0"/>
            </w:pPr>
            <w:r>
              <w:rPr>
                <w:sz w:val="17"/>
              </w:rPr>
              <w:t>10</w:t>
            </w:r>
          </w:p>
        </w:tc>
        <w:tc>
          <w:tcPr>
            <w:tcW w:type="dxa" w:w="9216"/>
            <w:tcMar>
              <w:top w:w="100" w:type="dxa"/>
              <w:start w:w="110" w:type="dxa"/>
              <w:bottom w:w="100" w:type="dxa"/>
              <w:end w:w="110" w:type="dxa"/>
            </w:tcMar>
            <w:vAlign w:val="center"/>
          </w:tcPr>
          <w:p>
            <w:pPr>
              <w:spacing w:after="0"/>
            </w:pPr>
            <w:r>
              <w:rPr>
                <w:sz w:val="17"/>
              </w:rPr>
              <w:t>Assertion–Reason structure</w:t>
            </w:r>
          </w:p>
        </w:tc>
      </w:tr>
      <w:tr>
        <w:trPr>
          <w:cantSplit w:val="true"/>
        </w:trPr>
        <w:tc>
          <w:tcPr>
            <w:tcW w:type="dxa" w:w="1152"/>
            <w:shd w:fill="EEF5FB"/>
            <w:tcMar>
              <w:top w:w="100" w:type="dxa"/>
              <w:start w:w="110" w:type="dxa"/>
              <w:bottom w:w="100" w:type="dxa"/>
              <w:end w:w="110" w:type="dxa"/>
            </w:tcMar>
            <w:vAlign w:val="center"/>
          </w:tcPr>
          <w:p>
            <w:pPr>
              <w:spacing w:after="0"/>
            </w:pPr>
            <w:r>
              <w:rPr>
                <w:sz w:val="17"/>
              </w:rPr>
              <w:t>11</w:t>
            </w:r>
          </w:p>
        </w:tc>
        <w:tc>
          <w:tcPr>
            <w:tcW w:type="dxa" w:w="9216"/>
            <w:shd w:fill="EEF5FB"/>
            <w:tcMar>
              <w:top w:w="100" w:type="dxa"/>
              <w:start w:w="110" w:type="dxa"/>
              <w:bottom w:w="100" w:type="dxa"/>
              <w:end w:w="110" w:type="dxa"/>
            </w:tcMar>
            <w:vAlign w:val="center"/>
          </w:tcPr>
          <w:p>
            <w:pPr>
              <w:spacing w:after="0"/>
            </w:pPr>
            <w:r>
              <w:rPr>
                <w:sz w:val="17"/>
              </w:rPr>
              <w:t>Table preservation and author-owned headers</w:t>
            </w:r>
          </w:p>
        </w:tc>
      </w:tr>
      <w:tr>
        <w:trPr>
          <w:cantSplit w:val="true"/>
        </w:trPr>
        <w:tc>
          <w:tcPr>
            <w:tcW w:type="dxa" w:w="1152"/>
            <w:tcMar>
              <w:top w:w="100" w:type="dxa"/>
              <w:start w:w="110" w:type="dxa"/>
              <w:bottom w:w="100" w:type="dxa"/>
              <w:end w:w="110" w:type="dxa"/>
            </w:tcMar>
            <w:vAlign w:val="center"/>
          </w:tcPr>
          <w:p>
            <w:pPr>
              <w:spacing w:after="0"/>
            </w:pPr>
            <w:r>
              <w:rPr>
                <w:sz w:val="17"/>
              </w:rPr>
              <w:t>12</w:t>
            </w:r>
          </w:p>
        </w:tc>
        <w:tc>
          <w:tcPr>
            <w:tcW w:type="dxa" w:w="9216"/>
            <w:tcMar>
              <w:top w:w="100" w:type="dxa"/>
              <w:start w:w="110" w:type="dxa"/>
              <w:bottom w:w="100" w:type="dxa"/>
              <w:end w:w="110" w:type="dxa"/>
            </w:tcMar>
            <w:vAlign w:val="center"/>
          </w:tcPr>
          <w:p>
            <w:pPr>
              <w:spacing w:after="0"/>
            </w:pPr>
            <w:r>
              <w:rPr>
                <w:sz w:val="17"/>
              </w:rPr>
              <w:t>MCQ/FIB Type consistency</w:t>
            </w:r>
          </w:p>
        </w:tc>
      </w:tr>
      <w:tr>
        <w:trPr>
          <w:cantSplit w:val="true"/>
        </w:trPr>
        <w:tc>
          <w:tcPr>
            <w:tcW w:type="dxa" w:w="1152"/>
            <w:shd w:fill="EEF5FB"/>
            <w:tcMar>
              <w:top w:w="100" w:type="dxa"/>
              <w:start w:w="110" w:type="dxa"/>
              <w:bottom w:w="100" w:type="dxa"/>
              <w:end w:w="110" w:type="dxa"/>
            </w:tcMar>
            <w:vAlign w:val="center"/>
          </w:tcPr>
          <w:p>
            <w:pPr>
              <w:spacing w:after="0"/>
            </w:pPr>
            <w:r>
              <w:rPr>
                <w:sz w:val="17"/>
              </w:rPr>
              <w:t>14</w:t>
            </w:r>
          </w:p>
        </w:tc>
        <w:tc>
          <w:tcPr>
            <w:tcW w:type="dxa" w:w="9216"/>
            <w:shd w:fill="EEF5FB"/>
            <w:tcMar>
              <w:top w:w="100" w:type="dxa"/>
              <w:start w:w="110" w:type="dxa"/>
              <w:bottom w:w="100" w:type="dxa"/>
              <w:end w:w="110" w:type="dxa"/>
            </w:tcMar>
            <w:vAlign w:val="center"/>
          </w:tcPr>
          <w:p>
            <w:pPr>
              <w:spacing w:after="0"/>
            </w:pPr>
            <w:r>
              <w:rPr>
                <w:sz w:val="17"/>
              </w:rPr>
              <w:t>Curriculum/Taxonomy mapping preparation</w:t>
            </w:r>
          </w:p>
        </w:tc>
      </w:tr>
      <w:tr>
        <w:trPr>
          <w:cantSplit w:val="true"/>
        </w:trPr>
        <w:tc>
          <w:tcPr>
            <w:tcW w:type="dxa" w:w="1152"/>
            <w:tcMar>
              <w:top w:w="100" w:type="dxa"/>
              <w:start w:w="110" w:type="dxa"/>
              <w:bottom w:w="100" w:type="dxa"/>
              <w:end w:w="110" w:type="dxa"/>
            </w:tcMar>
            <w:vAlign w:val="center"/>
          </w:tcPr>
          <w:p>
            <w:pPr>
              <w:spacing w:after="0"/>
            </w:pPr>
            <w:r>
              <w:rPr>
                <w:sz w:val="17"/>
              </w:rPr>
              <w:t>15</w:t>
            </w:r>
          </w:p>
        </w:tc>
        <w:tc>
          <w:tcPr>
            <w:tcW w:type="dxa" w:w="9216"/>
            <w:tcMar>
              <w:top w:w="100" w:type="dxa"/>
              <w:start w:w="110" w:type="dxa"/>
              <w:bottom w:w="100" w:type="dxa"/>
              <w:end w:w="110" w:type="dxa"/>
            </w:tcMar>
            <w:vAlign w:val="center"/>
          </w:tcPr>
          <w:p>
            <w:pPr>
              <w:spacing w:after="0"/>
            </w:pPr>
            <w:r>
              <w:rPr>
                <w:sz w:val="17"/>
              </w:rPr>
              <w:t>Source question numbering</w:t>
            </w:r>
          </w:p>
        </w:tc>
      </w:tr>
      <w:tr>
        <w:tc>
          <w:tcPr>
            <w:tcW w:type="dxa" w:w="5083"/>
          </w:tcPr>
          <w:p>
            <w:r>
              <w:t>17</w:t>
            </w:r>
          </w:p>
        </w:tc>
        <w:tc>
          <w:tcPr>
            <w:tcW w:type="dxa" w:w="5083"/>
          </w:tcPr>
          <w:p>
            <w:r>
              <w:t>Manual line-break structure that cannot be separated safely</w:t>
            </w:r>
          </w:p>
        </w:tc>
      </w:tr>
      <w:tr>
        <w:tc>
          <w:tcPr>
            <w:tcW w:type="dxa" w:w="5083"/>
          </w:tcPr>
          <w:p>
            <w:r>
              <w:t>18</w:t>
            </w:r>
          </w:p>
        </w:tc>
        <w:tc>
          <w:tcPr>
            <w:tcW w:type="dxa" w:w="5083"/>
          </w:tcPr>
          <w:p>
            <w:r>
              <w:t>Unrecognised or ambiguous Answer/Answers boundary</w:t>
            </w:r>
          </w:p>
        </w:tc>
      </w:tr>
    </w:tbl>
    <w:p>
      <w:pPr>
        <w:spacing w:after="0"/>
      </w:pPr>
    </w:p>
    <w:p>
      <w:r>
        <w:t>Rule is an internal category, not an error count. Rule 0 is therefore a valid general-processing category.</w:t>
      </w:r>
    </w:p>
    <w:p>
      <w:pPr>
        <w:pStyle w:val="Heading1"/>
        <w:keepNext/>
      </w:pPr>
      <w:r>
        <w:t>12. Common manual checks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592"/>
            <w:shd w:fill="17365D"/>
            <w:tcMar>
              <w:top w:w="100" w:type="dxa"/>
              <w:start w:w="110" w:type="dxa"/>
              <w:bottom w:w="100" w:type="dxa"/>
              <w:end w:w="110" w:type="dxa"/>
            </w:tcMar>
            <w:vAlign w:val="center"/>
          </w:tcPr>
          <w:p>
            <w:pPr>
              <w:jc w:val="center"/>
            </w:pPr>
            <w:r>
              <w:rPr>
                <w:b/>
                <w:color w:val="FFFFFF"/>
                <w:sz w:val="18"/>
              </w:rPr>
              <w:t>Finding</w:t>
            </w:r>
          </w:p>
        </w:tc>
        <w:tc>
          <w:tcPr>
            <w:tcW w:type="dxa" w:w="3960"/>
            <w:shd w:fill="17365D"/>
            <w:tcMar>
              <w:top w:w="100" w:type="dxa"/>
              <w:start w:w="110" w:type="dxa"/>
              <w:bottom w:w="100" w:type="dxa"/>
              <w:end w:w="110" w:type="dxa"/>
            </w:tcMar>
            <w:vAlign w:val="center"/>
          </w:tcPr>
          <w:p>
            <w:pPr>
              <w:jc w:val="center"/>
            </w:pPr>
            <w:r>
              <w:rPr>
                <w:b/>
                <w:color w:val="FFFFFF"/>
                <w:sz w:val="18"/>
              </w:rPr>
              <w:t>Why the app does not guess</w:t>
            </w:r>
          </w:p>
        </w:tc>
        <w:tc>
          <w:tcPr>
            <w:tcW w:type="dxa" w:w="3816"/>
            <w:shd w:fill="17365D"/>
            <w:tcMar>
              <w:top w:w="100" w:type="dxa"/>
              <w:start w:w="110" w:type="dxa"/>
              <w:bottom w:w="100" w:type="dxa"/>
              <w:end w:w="110" w:type="dxa"/>
            </w:tcMar>
            <w:vAlign w:val="center"/>
          </w:tcPr>
          <w:p>
            <w:pPr>
              <w:jc w:val="center"/>
            </w:pPr>
            <w:r>
              <w:rPr>
                <w:b/>
                <w:color w:val="FFFFFF"/>
                <w:sz w:val="18"/>
              </w:rPr>
              <w:t>Author/reviewer action</w:t>
            </w:r>
          </w:p>
        </w:tc>
      </w:tr>
      <w:tr>
        <w:trPr>
          <w:cantSplit w:val="true"/>
        </w:trPr>
        <w:tc>
          <w:tcPr>
            <w:tcW w:type="dxa" w:w="2592"/>
            <w:tcMar>
              <w:top w:w="100" w:type="dxa"/>
              <w:start w:w="110" w:type="dxa"/>
              <w:bottom w:w="100" w:type="dxa"/>
              <w:end w:w="110" w:type="dxa"/>
            </w:tcMar>
            <w:vAlign w:val="center"/>
          </w:tcPr>
          <w:p>
            <w:pPr>
              <w:spacing w:after="0"/>
            </w:pPr>
            <w:r>
              <w:rPr>
                <w:sz w:val="17"/>
              </w:rPr>
              <w:t>Ambiguous fraction or radical scope</w:t>
            </w:r>
          </w:p>
        </w:tc>
        <w:tc>
          <w:tcPr>
            <w:tcW w:type="dxa" w:w="3960"/>
            <w:tcMar>
              <w:top w:w="100" w:type="dxa"/>
              <w:start w:w="110" w:type="dxa"/>
              <w:bottom w:w="100" w:type="dxa"/>
              <w:end w:w="110" w:type="dxa"/>
            </w:tcMar>
            <w:vAlign w:val="center"/>
          </w:tcPr>
          <w:p>
            <w:pPr>
              <w:spacing w:after="0"/>
            </w:pPr>
            <w:r>
              <w:rPr>
                <w:sz w:val="17"/>
              </w:rPr>
              <w:t>Different interpretations change mathematical meaning.</w:t>
            </w:r>
          </w:p>
        </w:tc>
        <w:tc>
          <w:tcPr>
            <w:tcW w:type="dxa" w:w="3816"/>
            <w:tcMar>
              <w:top w:w="100" w:type="dxa"/>
              <w:start w:w="110" w:type="dxa"/>
              <w:bottom w:w="100" w:type="dxa"/>
              <w:end w:w="110" w:type="dxa"/>
            </w:tcMar>
            <w:vAlign w:val="center"/>
          </w:tcPr>
          <w:p>
            <w:pPr>
              <w:spacing w:after="0"/>
            </w:pPr>
            <w:r>
              <w:rPr>
                <w:sz w:val="17"/>
              </w:rPr>
              <w:t>Add brackets or use Insert → Equation.</w:t>
            </w:r>
          </w:p>
        </w:tc>
      </w:tr>
      <w:tr>
        <w:trPr>
          <w:cantSplit w:val="true"/>
        </w:trPr>
        <w:tc>
          <w:tcPr>
            <w:tcW w:type="dxa" w:w="2592"/>
            <w:shd w:fill="EEF5FB"/>
            <w:tcMar>
              <w:top w:w="100" w:type="dxa"/>
              <w:start w:w="110" w:type="dxa"/>
              <w:bottom w:w="100" w:type="dxa"/>
              <w:end w:w="110" w:type="dxa"/>
            </w:tcMar>
            <w:vAlign w:val="center"/>
          </w:tcPr>
          <w:p>
            <w:pPr>
              <w:spacing w:after="0"/>
            </w:pPr>
            <w:r>
              <w:rPr>
                <w:sz w:val="17"/>
              </w:rPr>
              <w:t>Equation-like image</w:t>
            </w:r>
          </w:p>
        </w:tc>
        <w:tc>
          <w:tcPr>
            <w:tcW w:type="dxa" w:w="3960"/>
            <w:shd w:fill="EEF5FB"/>
            <w:tcMar>
              <w:top w:w="100" w:type="dxa"/>
              <w:start w:w="110" w:type="dxa"/>
              <w:bottom w:w="100" w:type="dxa"/>
              <w:end w:w="110" w:type="dxa"/>
            </w:tcMar>
            <w:vAlign w:val="center"/>
          </w:tcPr>
          <w:p>
            <w:pPr>
              <w:spacing w:after="0"/>
            </w:pPr>
            <w:r>
              <w:rPr>
                <w:sz w:val="17"/>
              </w:rPr>
              <w:t>It may be a valid diagram or an equation screenshot.</w:t>
            </w:r>
          </w:p>
        </w:tc>
        <w:tc>
          <w:tcPr>
            <w:tcW w:type="dxa" w:w="3816"/>
            <w:shd w:fill="EEF5FB"/>
            <w:tcMar>
              <w:top w:w="100" w:type="dxa"/>
              <w:start w:w="110" w:type="dxa"/>
              <w:bottom w:w="100" w:type="dxa"/>
              <w:end w:w="110" w:type="dxa"/>
            </w:tcMar>
            <w:vAlign w:val="center"/>
          </w:tcPr>
          <w:p>
            <w:pPr>
              <w:spacing w:after="0"/>
            </w:pPr>
            <w:r>
              <w:rPr>
                <w:sz w:val="17"/>
              </w:rPr>
              <w:t>Confirm diagram, or recreate the equation natively.</w:t>
            </w:r>
          </w:p>
        </w:tc>
      </w:tr>
      <w:tr>
        <w:trPr>
          <w:cantSplit w:val="true"/>
        </w:trPr>
        <w:tc>
          <w:tcPr>
            <w:tcW w:type="dxa" w:w="2592"/>
            <w:tcMar>
              <w:top w:w="100" w:type="dxa"/>
              <w:start w:w="110" w:type="dxa"/>
              <w:bottom w:w="100" w:type="dxa"/>
              <w:end w:w="110" w:type="dxa"/>
            </w:tcMar>
            <w:vAlign w:val="center"/>
          </w:tcPr>
          <w:p>
            <w:pPr>
              <w:spacing w:after="0"/>
            </w:pPr>
            <w:r>
              <w:rPr>
                <w:sz w:val="17"/>
              </w:rPr>
              <w:t>Incomplete/contradictory MCQ</w:t>
            </w:r>
          </w:p>
        </w:tc>
        <w:tc>
          <w:tcPr>
            <w:tcW w:type="dxa" w:w="3960"/>
            <w:tcMar>
              <w:top w:w="100" w:type="dxa"/>
              <w:start w:w="110" w:type="dxa"/>
              <w:bottom w:w="100" w:type="dxa"/>
              <w:end w:w="110" w:type="dxa"/>
            </w:tcMar>
            <w:vAlign w:val="center"/>
          </w:tcPr>
          <w:p>
            <w:pPr>
              <w:spacing w:after="0"/>
            </w:pPr>
            <w:r>
              <w:rPr>
                <w:sz w:val="17"/>
              </w:rPr>
              <w:t>Correct Type or answer cannot be proved.</w:t>
            </w:r>
          </w:p>
        </w:tc>
        <w:tc>
          <w:tcPr>
            <w:tcW w:type="dxa" w:w="3816"/>
            <w:tcMar>
              <w:top w:w="100" w:type="dxa"/>
              <w:start w:w="110" w:type="dxa"/>
              <w:bottom w:w="100" w:type="dxa"/>
              <w:end w:w="110" w:type="dxa"/>
            </w:tcMar>
            <w:vAlign w:val="center"/>
          </w:tcPr>
          <w:p>
            <w:pPr>
              <w:spacing w:after="0"/>
            </w:pPr>
            <w:r>
              <w:rPr>
                <w:sz w:val="17"/>
              </w:rPr>
              <w:t>Repair four choices and one matching answer key.</w:t>
            </w:r>
          </w:p>
        </w:tc>
      </w:tr>
      <w:tr>
        <w:trPr>
          <w:cantSplit w:val="true"/>
        </w:trPr>
        <w:tc>
          <w:tcPr>
            <w:tcW w:type="dxa" w:w="2592"/>
            <w:shd w:fill="EEF5FB"/>
            <w:tcMar>
              <w:top w:w="100" w:type="dxa"/>
              <w:start w:w="110" w:type="dxa"/>
              <w:bottom w:w="100" w:type="dxa"/>
              <w:end w:w="110" w:type="dxa"/>
            </w:tcMar>
            <w:vAlign w:val="center"/>
          </w:tcPr>
          <w:p>
            <w:pPr>
              <w:spacing w:after="0"/>
            </w:pPr>
            <w:r>
              <w:rPr>
                <w:sz w:val="17"/>
              </w:rPr>
              <w:t>Image in FIB Answers</w:t>
            </w:r>
          </w:p>
        </w:tc>
        <w:tc>
          <w:tcPr>
            <w:tcW w:type="dxa" w:w="3960"/>
            <w:shd w:fill="EEF5FB"/>
            <w:tcMar>
              <w:top w:w="100" w:type="dxa"/>
              <w:start w:w="110" w:type="dxa"/>
              <w:bottom w:w="100" w:type="dxa"/>
              <w:end w:w="110" w:type="dxa"/>
            </w:tcMar>
            <w:vAlign w:val="center"/>
          </w:tcPr>
          <w:p>
            <w:pPr>
              <w:spacing w:after="0"/>
            </w:pPr>
            <w:r>
              <w:rPr>
                <w:sz w:val="17"/>
              </w:rPr>
              <w:t>CMS FIB answers do not accept images.</w:t>
            </w:r>
          </w:p>
        </w:tc>
        <w:tc>
          <w:tcPr>
            <w:tcW w:type="dxa" w:w="3816"/>
            <w:shd w:fill="EEF5FB"/>
            <w:tcMar>
              <w:top w:w="100" w:type="dxa"/>
              <w:start w:w="110" w:type="dxa"/>
              <w:bottom w:w="100" w:type="dxa"/>
              <w:end w:w="110" w:type="dxa"/>
            </w:tcMar>
            <w:vAlign w:val="center"/>
          </w:tcPr>
          <w:p>
            <w:pPr>
              <w:spacing w:after="0"/>
            </w:pPr>
            <w:r>
              <w:rPr>
                <w:sz w:val="17"/>
              </w:rPr>
              <w:t>Remove the image or redesign the question.</w:t>
            </w:r>
          </w:p>
        </w:tc>
      </w:tr>
      <w:tr>
        <w:trPr>
          <w:cantSplit w:val="true"/>
        </w:trPr>
        <w:tc>
          <w:tcPr>
            <w:tcW w:type="dxa" w:w="2592"/>
            <w:tcMar>
              <w:top w:w="100" w:type="dxa"/>
              <w:start w:w="110" w:type="dxa"/>
              <w:bottom w:w="100" w:type="dxa"/>
              <w:end w:w="110" w:type="dxa"/>
            </w:tcMar>
            <w:vAlign w:val="center"/>
          </w:tcPr>
          <w:p>
            <w:pPr>
              <w:spacing w:after="0"/>
            </w:pPr>
            <w:r>
              <w:rPr>
                <w:sz w:val="17"/>
              </w:rPr>
              <w:t>Mixed subpart levels</w:t>
            </w:r>
          </w:p>
        </w:tc>
        <w:tc>
          <w:tcPr>
            <w:tcW w:type="dxa" w:w="3960"/>
            <w:tcMar>
              <w:top w:w="100" w:type="dxa"/>
              <w:start w:w="110" w:type="dxa"/>
              <w:bottom w:w="100" w:type="dxa"/>
              <w:end w:w="110" w:type="dxa"/>
            </w:tcMar>
            <w:vAlign w:val="center"/>
          </w:tcPr>
          <w:p>
            <w:pPr>
              <w:spacing w:after="0"/>
            </w:pPr>
            <w:r>
              <w:rPr>
                <w:sz w:val="17"/>
              </w:rPr>
              <w:t>Roman numerals may be top-level or nested.</w:t>
            </w:r>
          </w:p>
        </w:tc>
        <w:tc>
          <w:tcPr>
            <w:tcW w:type="dxa" w:w="3816"/>
            <w:tcMar>
              <w:top w:w="100" w:type="dxa"/>
              <w:start w:w="110" w:type="dxa"/>
              <w:bottom w:w="100" w:type="dxa"/>
              <w:end w:w="110" w:type="dxa"/>
            </w:tcMar>
            <w:vAlign w:val="center"/>
          </w:tcPr>
          <w:p>
            <w:pPr>
              <w:spacing w:after="0"/>
            </w:pPr>
            <w:r>
              <w:rPr>
                <w:sz w:val="17"/>
              </w:rPr>
              <w:t>Apply (a), (b) and nested (i), (ii) explicitly.</w:t>
            </w:r>
          </w:p>
        </w:tc>
      </w:tr>
      <w:tr>
        <w:trPr>
          <w:cantSplit w:val="true"/>
        </w:trPr>
        <w:tc>
          <w:tcPr>
            <w:tcW w:type="dxa" w:w="2592"/>
            <w:shd w:fill="EEF5FB"/>
            <w:tcMar>
              <w:top w:w="100" w:type="dxa"/>
              <w:start w:w="110" w:type="dxa"/>
              <w:bottom w:w="100" w:type="dxa"/>
              <w:end w:w="110" w:type="dxa"/>
            </w:tcMar>
            <w:vAlign w:val="center"/>
          </w:tcPr>
          <w:p>
            <w:pPr>
              <w:spacing w:after="0"/>
            </w:pPr>
            <w:r>
              <w:rPr>
                <w:sz w:val="17"/>
              </w:rPr>
              <w:t>Mapping path not found</w:t>
            </w:r>
          </w:p>
        </w:tc>
        <w:tc>
          <w:tcPr>
            <w:tcW w:type="dxa" w:w="3960"/>
            <w:shd w:fill="EEF5FB"/>
            <w:tcMar>
              <w:top w:w="100" w:type="dxa"/>
              <w:start w:w="110" w:type="dxa"/>
              <w:bottom w:w="100" w:type="dxa"/>
              <w:end w:w="110" w:type="dxa"/>
            </w:tcMar>
            <w:vAlign w:val="center"/>
          </w:tcPr>
          <w:p>
            <w:pPr>
              <w:spacing w:after="0"/>
            </w:pPr>
            <w:r>
              <w:rPr>
                <w:sz w:val="17"/>
              </w:rPr>
              <w:t>CMS mapping paths must match exact tree nodes.</w:t>
            </w:r>
          </w:p>
        </w:tc>
        <w:tc>
          <w:tcPr>
            <w:tcW w:type="dxa" w:w="3816"/>
            <w:shd w:fill="EEF5FB"/>
            <w:tcMar>
              <w:top w:w="100" w:type="dxa"/>
              <w:start w:w="110" w:type="dxa"/>
              <w:bottom w:w="100" w:type="dxa"/>
              <w:end w:w="110" w:type="dxa"/>
            </w:tcMar>
            <w:vAlign w:val="center"/>
          </w:tcPr>
          <w:p>
            <w:pPr>
              <w:spacing w:after="0"/>
            </w:pPr>
            <w:r>
              <w:rPr>
                <w:sz w:val="17"/>
              </w:rPr>
              <w:t>Use the suggested path or correct the source path.</w:t>
            </w:r>
          </w:p>
        </w:tc>
      </w:tr>
      <w:tr>
        <w:trPr>
          <w:cantSplit w:val="true"/>
        </w:trPr>
        <w:tc>
          <w:tcPr>
            <w:tcW w:type="dxa" w:w="2592"/>
            <w:tcMar>
              <w:top w:w="100" w:type="dxa"/>
              <w:start w:w="110" w:type="dxa"/>
              <w:bottom w:w="100" w:type="dxa"/>
              <w:end w:w="110" w:type="dxa"/>
            </w:tcMar>
            <w:vAlign w:val="center"/>
          </w:tcPr>
          <w:p>
            <w:pPr>
              <w:spacing w:after="0"/>
            </w:pPr>
            <w:r>
              <w:rPr>
                <w:sz w:val="17"/>
              </w:rPr>
              <w:t>Empty Solution</w:t>
            </w:r>
          </w:p>
        </w:tc>
        <w:tc>
          <w:tcPr>
            <w:tcW w:type="dxa" w:w="3960"/>
            <w:tcMar>
              <w:top w:w="100" w:type="dxa"/>
              <w:start w:w="110" w:type="dxa"/>
              <w:bottom w:w="100" w:type="dxa"/>
              <w:end w:w="110" w:type="dxa"/>
            </w:tcMar>
            <w:vAlign w:val="center"/>
          </w:tcPr>
          <w:p>
            <w:pPr>
              <w:spacing w:after="0"/>
            </w:pPr>
            <w:r>
              <w:rPr>
                <w:sz w:val="17"/>
              </w:rPr>
              <w:t>No solution was supplied and the app does not invent one.</w:t>
            </w:r>
          </w:p>
        </w:tc>
        <w:tc>
          <w:tcPr>
            <w:tcW w:type="dxa" w:w="3816"/>
            <w:tcMar>
              <w:top w:w="100" w:type="dxa"/>
              <w:start w:w="110" w:type="dxa"/>
              <w:bottom w:w="100" w:type="dxa"/>
              <w:end w:w="110" w:type="dxa"/>
            </w:tcMar>
            <w:vAlign w:val="center"/>
          </w:tcPr>
          <w:p>
            <w:pPr>
              <w:spacing w:after="0"/>
            </w:pPr>
            <w:r>
              <w:rPr>
                <w:sz w:val="17"/>
              </w:rPr>
              <w:t>Add a real solution if the project requires it.</w:t>
            </w:r>
          </w:p>
        </w:tc>
      </w:tr>
      <w:tr>
        <w:trPr>
          <w:cantSplit w:val="true"/>
        </w:trPr>
        <w:tc>
          <w:tcPr>
            <w:tcW w:type="dxa" w:w="2592"/>
            <w:shd w:fill="EEF5FB"/>
            <w:tcMar>
              <w:top w:w="100" w:type="dxa"/>
              <w:start w:w="110" w:type="dxa"/>
              <w:bottom w:w="100" w:type="dxa"/>
              <w:end w:w="110" w:type="dxa"/>
            </w:tcMar>
            <w:vAlign w:val="center"/>
          </w:tcPr>
          <w:p>
            <w:pPr>
              <w:spacing w:after="0"/>
            </w:pPr>
            <w:r>
              <w:rPr>
                <w:sz w:val="17"/>
              </w:rPr>
              <w:t>Text outside expected sections</w:t>
            </w:r>
          </w:p>
        </w:tc>
        <w:tc>
          <w:tcPr>
            <w:tcW w:type="dxa" w:w="3960"/>
            <w:shd w:fill="EEF5FB"/>
            <w:tcMar>
              <w:top w:w="100" w:type="dxa"/>
              <w:start w:w="110" w:type="dxa"/>
              <w:bottom w:w="100" w:type="dxa"/>
              <w:end w:w="110" w:type="dxa"/>
            </w:tcMar>
            <w:vAlign w:val="center"/>
          </w:tcPr>
          <w:p>
            <w:pPr>
              <w:spacing w:after="0"/>
            </w:pPr>
            <w:r>
              <w:rPr>
                <w:sz w:val="17"/>
              </w:rPr>
              <w:t>Moving it automatically could alter the question.</w:t>
            </w:r>
          </w:p>
        </w:tc>
        <w:tc>
          <w:tcPr>
            <w:tcW w:type="dxa" w:w="3816"/>
            <w:shd w:fill="EEF5FB"/>
            <w:tcMar>
              <w:top w:w="100" w:type="dxa"/>
              <w:start w:w="110" w:type="dxa"/>
              <w:bottom w:w="100" w:type="dxa"/>
              <w:end w:w="110" w:type="dxa"/>
            </w:tcMar>
            <w:vAlign w:val="center"/>
          </w:tcPr>
          <w:p>
            <w:pPr>
              <w:spacing w:after="0"/>
            </w:pPr>
            <w:r>
              <w:rPr>
                <w:sz w:val="17"/>
              </w:rPr>
              <w:t>Place the text under the correct question section.</w:t>
            </w:r>
          </w:p>
        </w:tc>
      </w:tr>
      <w:tr>
        <w:tc>
          <w:tcPr>
            <w:tcW w:type="dxa" w:w="3389"/>
          </w:tcPr>
          <w:p>
            <w:r>
              <w:t>Ambiguous manual-line-break structure</w:t>
            </w:r>
          </w:p>
        </w:tc>
        <w:tc>
          <w:tcPr>
            <w:tcW w:type="dxa" w:w="3389"/>
          </w:tcPr>
          <w:p>
            <w:r>
              <w:t>Splitting the paragraph could move an equation, image or content into the wrong CMS section.</w:t>
            </w:r>
          </w:p>
        </w:tc>
        <w:tc>
          <w:tcPr>
            <w:tcW w:type="dxa" w:w="3389"/>
          </w:tcPr>
          <w:p>
            <w:r>
              <w:t>Replace the relevant Shift+Enter with Enter and process again.</w:t>
            </w:r>
          </w:p>
        </w:tc>
      </w:tr>
      <w:tr>
        <w:tc>
          <w:tcPr>
            <w:tcW w:type="dxa" w:w="3389"/>
          </w:tcPr>
          <w:p>
            <w:r>
              <w:t>Unrecognised Answer/Answers boundary</w:t>
            </w:r>
          </w:p>
        </w:tc>
        <w:tc>
          <w:tcPr>
            <w:tcW w:type="dxa" w:w="3389"/>
          </w:tcPr>
          <w:p>
            <w:r>
              <w:t>The following lines do not prove where the question ends and the answer block begins.</w:t>
            </w:r>
          </w:p>
        </w:tc>
        <w:tc>
          <w:tcPr>
            <w:tcW w:type="dxa" w:w="3389"/>
          </w:tcPr>
          <w:p>
            <w:r>
              <w:t>Use Answer: or Answers: followed by clearly labelled answer lines.</w:t>
            </w:r>
          </w:p>
        </w:tc>
      </w:tr>
      <w:tr>
        <w:tc>
          <w:tcPr>
            <w:tcW w:type="dxa" w:w="3389"/>
          </w:tcPr>
          <w:p>
            <w:r>
              <w:t>Original Word equation changed</w:t>
            </w:r>
          </w:p>
        </w:tc>
        <w:tc>
          <w:tcPr>
            <w:tcW w:type="dxa" w:w="3389"/>
          </w:tcPr>
          <w:p>
            <w:r>
              <w:t>A non-empty source equation lost or changed mathematical text or a structural operator.</w:t>
            </w:r>
          </w:p>
        </w:tc>
        <w:tc>
          <w:tcPr>
            <w:tcW w:type="dxa" w:w="3389"/>
          </w:tcPr>
          <w:p>
            <w:r>
              <w:t>Use the reported question, paragraph and equation number to inspect the source; no processed document is released.</w:t>
            </w:r>
          </w:p>
        </w:tc>
      </w:tr>
    </w:tbl>
    <w:p>
      <w:pPr>
        <w:spacing w:after="0"/>
      </w:pPr>
    </w:p>
    <w:p>
      <w:pPr>
        <w:pStyle w:val="Heading1"/>
        <w:keepNext/>
      </w:pPr>
      <w:r>
        <w:t>13. Features changed or withdrawn from earlier versions</w:t>
      </w:r>
    </w:p>
    <w:p>
      <w:r>
        <w:t>Earlier builds combined behaviours or made broader assumptions. The current design uses narrower deterministic rules so that a formatting convenience cannot silently change mathematical meaning or CMS structure.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952"/>
            <w:shd w:fill="17365D"/>
            <w:tcMar>
              <w:top w:w="100" w:type="dxa"/>
              <w:start w:w="110" w:type="dxa"/>
              <w:bottom w:w="100" w:type="dxa"/>
              <w:end w:w="110" w:type="dxa"/>
            </w:tcMar>
            <w:vAlign w:val="center"/>
          </w:tcPr>
          <w:p>
            <w:pPr>
              <w:jc w:val="center"/>
            </w:pPr>
            <w:r>
              <w:rPr>
                <w:b/>
                <w:color w:val="FFFFFF"/>
                <w:sz w:val="18"/>
              </w:rPr>
              <w:t>Earlier behaviour</w:t>
            </w:r>
          </w:p>
        </w:tc>
        <w:tc>
          <w:tcPr>
            <w:tcW w:type="dxa" w:w="4104"/>
            <w:shd w:fill="17365D"/>
            <w:tcMar>
              <w:top w:w="100" w:type="dxa"/>
              <w:start w:w="110" w:type="dxa"/>
              <w:bottom w:w="100" w:type="dxa"/>
              <w:end w:w="110" w:type="dxa"/>
            </w:tcMar>
            <w:vAlign w:val="center"/>
          </w:tcPr>
          <w:p>
            <w:pPr>
              <w:jc w:val="center"/>
            </w:pPr>
            <w:r>
              <w:rPr>
                <w:b/>
                <w:color w:val="FFFFFF"/>
                <w:sz w:val="18"/>
              </w:rPr>
              <w:t>Current behaviour</w:t>
            </w:r>
          </w:p>
        </w:tc>
        <w:tc>
          <w:tcPr>
            <w:tcW w:type="dxa" w:w="3312"/>
            <w:shd w:fill="17365D"/>
            <w:tcMar>
              <w:top w:w="100" w:type="dxa"/>
              <w:start w:w="110" w:type="dxa"/>
              <w:bottom w:w="100" w:type="dxa"/>
              <w:end w:w="110" w:type="dxa"/>
            </w:tcMar>
            <w:vAlign w:val="center"/>
          </w:tcPr>
          <w:p>
            <w:pPr>
              <w:jc w:val="center"/>
            </w:pPr>
            <w:r>
              <w:rPr>
                <w:b/>
                <w:color w:val="FFFFFF"/>
                <w:sz w:val="18"/>
              </w:rPr>
              <w:t>Why it changed</w:t>
            </w:r>
          </w:p>
        </w:tc>
      </w:tr>
      <w:tr>
        <w:trPr>
          <w:cantSplit w:val="true"/>
        </w:trPr>
        <w:tc>
          <w:tcPr>
            <w:tcW w:type="dxa" w:w="2952"/>
            <w:tcMar>
              <w:top w:w="100" w:type="dxa"/>
              <w:start w:w="110" w:type="dxa"/>
              <w:bottom w:w="100" w:type="dxa"/>
              <w:end w:w="110" w:type="dxa"/>
            </w:tcMar>
            <w:vAlign w:val="center"/>
          </w:tcPr>
          <w:p>
            <w:pPr>
              <w:spacing w:after="0"/>
            </w:pPr>
            <w:r>
              <w:rPr>
                <w:sz w:val="17"/>
              </w:rPr>
              <w:t>Three fixed Processing mode radio choices</w:t>
            </w:r>
          </w:p>
        </w:tc>
        <w:tc>
          <w:tcPr>
            <w:tcW w:type="dxa" w:w="4104"/>
            <w:tcMar>
              <w:top w:w="100" w:type="dxa"/>
              <w:start w:w="110" w:type="dxa"/>
              <w:bottom w:w="100" w:type="dxa"/>
              <w:end w:w="110" w:type="dxa"/>
            </w:tcMar>
            <w:vAlign w:val="center"/>
          </w:tcPr>
          <w:p>
            <w:pPr>
              <w:spacing w:after="0"/>
            </w:pPr>
            <w:r>
              <w:rPr>
                <w:sz w:val="17"/>
              </w:rPr>
              <w:t>Five independent checkboxes, all selected by default.</w:t>
            </w:r>
          </w:p>
        </w:tc>
        <w:tc>
          <w:tcPr>
            <w:tcW w:type="dxa" w:w="3312"/>
            <w:tcMar>
              <w:top w:w="100" w:type="dxa"/>
              <w:start w:w="110" w:type="dxa"/>
              <w:bottom w:w="100" w:type="dxa"/>
              <w:end w:w="110" w:type="dxa"/>
            </w:tcMar>
            <w:vAlign w:val="center"/>
          </w:tcPr>
          <w:p>
            <w:pPr>
              <w:spacing w:after="0"/>
            </w:pPr>
            <w:r>
              <w:rPr>
                <w:sz w:val="17"/>
              </w:rPr>
              <w:t>Users can prepare tags, images, math, text formatting and mapping data in any required combination.</w:t>
            </w:r>
          </w:p>
        </w:tc>
      </w:tr>
      <w:tr>
        <w:trPr>
          <w:cantSplit w:val="true"/>
        </w:trPr>
        <w:tc>
          <w:tcPr>
            <w:tcW w:type="dxa" w:w="2952"/>
            <w:shd w:fill="EEF5FB"/>
            <w:tcMar>
              <w:top w:w="100" w:type="dxa"/>
              <w:start w:w="110" w:type="dxa"/>
              <w:bottom w:w="100" w:type="dxa"/>
              <w:end w:w="110" w:type="dxa"/>
            </w:tcMar>
            <w:vAlign w:val="center"/>
          </w:tcPr>
          <w:p>
            <w:pPr>
              <w:spacing w:after="0"/>
            </w:pPr>
            <w:r>
              <w:rPr>
                <w:sz w:val="17"/>
              </w:rPr>
              <w:t>Automatic bolding of the first table row/column</w:t>
            </w:r>
          </w:p>
        </w:tc>
        <w:tc>
          <w:tcPr>
            <w:tcW w:type="dxa" w:w="4104"/>
            <w:shd w:fill="EEF5FB"/>
            <w:tcMar>
              <w:top w:w="100" w:type="dxa"/>
              <w:start w:w="110" w:type="dxa"/>
              <w:bottom w:w="100" w:type="dxa"/>
              <w:end w:w="110" w:type="dxa"/>
            </w:tcMar>
            <w:vAlign w:val="center"/>
          </w:tcPr>
          <w:p>
            <w:pPr>
              <w:spacing w:after="0"/>
            </w:pPr>
            <w:r>
              <w:rPr>
                <w:sz w:val="17"/>
              </w:rPr>
              <w:t>Table formatting is preserved; authors bold genuine headers.</w:t>
            </w:r>
          </w:p>
        </w:tc>
        <w:tc>
          <w:tcPr>
            <w:tcW w:type="dxa" w:w="3312"/>
            <w:shd w:fill="EEF5FB"/>
            <w:tcMar>
              <w:top w:w="100" w:type="dxa"/>
              <w:start w:w="110" w:type="dxa"/>
              <w:bottom w:w="100" w:type="dxa"/>
              <w:end w:w="110" w:type="dxa"/>
            </w:tcMar>
            <w:vAlign w:val="center"/>
          </w:tcPr>
          <w:p>
            <w:pPr>
              <w:spacing w:after="0"/>
            </w:pPr>
            <w:r>
              <w:rPr>
                <w:sz w:val="17"/>
              </w:rPr>
              <w:t>Position alone does not prove that a row or column is a semantic header.</w:t>
            </w:r>
          </w:p>
        </w:tc>
      </w:tr>
      <w:tr>
        <w:trPr>
          <w:cantSplit w:val="true"/>
        </w:trPr>
        <w:tc>
          <w:tcPr>
            <w:tcW w:type="dxa" w:w="2952"/>
            <w:tcMar>
              <w:top w:w="100" w:type="dxa"/>
              <w:start w:w="110" w:type="dxa"/>
              <w:bottom w:w="100" w:type="dxa"/>
              <w:end w:w="110" w:type="dxa"/>
            </w:tcMar>
            <w:vAlign w:val="center"/>
          </w:tcPr>
          <w:p>
            <w:pPr>
              <w:spacing w:after="0"/>
            </w:pPr>
            <w:r>
              <w:rPr>
                <w:sz w:val="17"/>
              </w:rPr>
              <w:t>Expectation that all mathematical expressions enter Equation Editor</w:t>
            </w:r>
          </w:p>
        </w:tc>
        <w:tc>
          <w:tcPr>
            <w:tcW w:type="dxa" w:w="4104"/>
            <w:tcMar>
              <w:top w:w="100" w:type="dxa"/>
              <w:start w:w="110" w:type="dxa"/>
              <w:bottom w:w="100" w:type="dxa"/>
              <w:end w:w="110" w:type="dxa"/>
            </w:tcMar>
            <w:vAlign w:val="center"/>
          </w:tcPr>
          <w:p>
            <w:pPr>
              <w:spacing w:after="0"/>
            </w:pPr>
            <w:r>
              <w:rPr>
                <w:sz w:val="17"/>
              </w:rPr>
              <w:t>Only structured notation that benefits from native math is converted; properly formatted ordinary-text equations may remain text.</w:t>
            </w:r>
          </w:p>
        </w:tc>
        <w:tc>
          <w:tcPr>
            <w:tcW w:type="dxa" w:w="3312"/>
            <w:tcMar>
              <w:top w:w="100" w:type="dxa"/>
              <w:start w:w="110" w:type="dxa"/>
              <w:bottom w:w="100" w:type="dxa"/>
              <w:end w:w="110" w:type="dxa"/>
            </w:tcMar>
            <w:vAlign w:val="center"/>
          </w:tcPr>
          <w:p>
            <w:pPr>
              <w:spacing w:after="0"/>
            </w:pPr>
            <w:r>
              <w:rPr>
                <w:sz w:val="17"/>
              </w:rPr>
              <w:t>Converting every expression produced mixed or unnecessary equation objects and could alter layout.</w:t>
            </w:r>
          </w:p>
        </w:tc>
      </w:tr>
      <w:tr>
        <w:trPr>
          <w:cantSplit w:val="true"/>
        </w:trPr>
        <w:tc>
          <w:tcPr>
            <w:tcW w:type="dxa" w:w="2952"/>
            <w:shd w:fill="EEF5FB"/>
            <w:tcMar>
              <w:top w:w="100" w:type="dxa"/>
              <w:start w:w="110" w:type="dxa"/>
              <w:bottom w:w="100" w:type="dxa"/>
              <w:end w:w="110" w:type="dxa"/>
            </w:tcMar>
            <w:vAlign w:val="center"/>
          </w:tcPr>
          <w:p>
            <w:pPr>
              <w:spacing w:after="0"/>
            </w:pPr>
            <w:r>
              <w:rPr>
                <w:sz w:val="17"/>
              </w:rPr>
              <w:t>Broad italicisation of isolated letters</w:t>
            </w:r>
          </w:p>
        </w:tc>
        <w:tc>
          <w:tcPr>
            <w:tcW w:type="dxa" w:w="4104"/>
            <w:shd w:fill="EEF5FB"/>
            <w:tcMar>
              <w:top w:w="100" w:type="dxa"/>
              <w:start w:w="110" w:type="dxa"/>
              <w:bottom w:w="100" w:type="dxa"/>
              <w:end w:w="110" w:type="dxa"/>
            </w:tcMar>
            <w:vAlign w:val="center"/>
          </w:tcPr>
          <w:p>
            <w:pPr>
              <w:spacing w:after="0"/>
            </w:pPr>
            <w:r>
              <w:rPr>
                <w:sz w:val="17"/>
              </w:rPr>
              <w:t>Only high-confidence variables and geometry labels are italicised; articles, option labels, A/R labels and units are protected.</w:t>
            </w:r>
          </w:p>
        </w:tc>
        <w:tc>
          <w:tcPr>
            <w:tcW w:type="dxa" w:w="3312"/>
            <w:shd w:fill="EEF5FB"/>
            <w:tcMar>
              <w:top w:w="100" w:type="dxa"/>
              <w:start w:w="110" w:type="dxa"/>
              <w:bottom w:w="100" w:type="dxa"/>
              <w:end w:w="110" w:type="dxa"/>
            </w:tcMar>
            <w:vAlign w:val="center"/>
          </w:tcPr>
          <w:p>
            <w:pPr>
              <w:spacing w:after="0"/>
            </w:pPr>
            <w:r>
              <w:rPr>
                <w:sz w:val="17"/>
              </w:rPr>
              <w:t>A single letter can be ordinary language, a label or a unit rather than a variable.</w:t>
            </w:r>
          </w:p>
        </w:tc>
      </w:tr>
      <w:tr>
        <w:trPr>
          <w:cantSplit w:val="true"/>
        </w:trPr>
        <w:tc>
          <w:tcPr>
            <w:tcW w:type="dxa" w:w="2952"/>
            <w:tcMar>
              <w:top w:w="100" w:type="dxa"/>
              <w:start w:w="110" w:type="dxa"/>
              <w:bottom w:w="100" w:type="dxa"/>
              <w:end w:w="110" w:type="dxa"/>
            </w:tcMar>
            <w:vAlign w:val="center"/>
          </w:tcPr>
          <w:p>
            <w:pPr>
              <w:spacing w:after="0"/>
            </w:pPr>
            <w:r>
              <w:rPr>
                <w:sz w:val="17"/>
              </w:rPr>
              <w:t>Generated solution sentences from an answer</w:t>
            </w:r>
          </w:p>
        </w:tc>
        <w:tc>
          <w:tcPr>
            <w:tcW w:type="dxa" w:w="4104"/>
            <w:tcMar>
              <w:top w:w="100" w:type="dxa"/>
              <w:start w:w="110" w:type="dxa"/>
              <w:bottom w:w="100" w:type="dxa"/>
              <w:end w:w="110" w:type="dxa"/>
            </w:tcMar>
            <w:vAlign w:val="center"/>
          </w:tcPr>
          <w:p>
            <w:pPr>
              <w:spacing w:after="0"/>
            </w:pPr>
            <w:r>
              <w:rPr>
                <w:sz w:val="17"/>
              </w:rPr>
              <w:t>No solution prose is invented. Missing solutions produce an empty @Solution:@ … @e@ block.</w:t>
            </w:r>
          </w:p>
        </w:tc>
        <w:tc>
          <w:tcPr>
            <w:tcW w:type="dxa" w:w="3312"/>
            <w:tcMar>
              <w:top w:w="100" w:type="dxa"/>
              <w:start w:w="110" w:type="dxa"/>
              <w:bottom w:w="100" w:type="dxa"/>
              <w:end w:w="110" w:type="dxa"/>
            </w:tcMar>
            <w:vAlign w:val="center"/>
          </w:tcPr>
          <w:p>
            <w:pPr>
              <w:spacing w:after="0"/>
            </w:pPr>
            <w:r>
              <w:rPr>
                <w:sz w:val="17"/>
              </w:rPr>
              <w:t>An answer is not a mathematical explanation, and generated prose may be pedagogically wrong.</w:t>
            </w:r>
          </w:p>
        </w:tc>
      </w:tr>
      <w:tr>
        <w:trPr>
          <w:cantSplit w:val="true"/>
        </w:trPr>
        <w:tc>
          <w:tcPr>
            <w:tcW w:type="dxa" w:w="2952"/>
            <w:shd w:fill="EEF5FB"/>
            <w:tcMar>
              <w:top w:w="100" w:type="dxa"/>
              <w:start w:w="110" w:type="dxa"/>
              <w:bottom w:w="100" w:type="dxa"/>
              <w:end w:w="110" w:type="dxa"/>
            </w:tcMar>
            <w:vAlign w:val="center"/>
          </w:tcPr>
          <w:p>
            <w:pPr>
              <w:spacing w:after="0"/>
            </w:pPr>
            <w:r>
              <w:rPr>
                <w:sz w:val="17"/>
              </w:rPr>
              <w:t>Guessing fraction, radical or exponent scope</w:t>
            </w:r>
          </w:p>
        </w:tc>
        <w:tc>
          <w:tcPr>
            <w:tcW w:type="dxa" w:w="4104"/>
            <w:shd w:fill="EEF5FB"/>
            <w:tcMar>
              <w:top w:w="100" w:type="dxa"/>
              <w:start w:w="110" w:type="dxa"/>
              <w:bottom w:w="100" w:type="dxa"/>
              <w:end w:w="110" w:type="dxa"/>
            </w:tcMar>
            <w:vAlign w:val="center"/>
          </w:tcPr>
          <w:p>
            <w:pPr>
              <w:spacing w:after="0"/>
            </w:pPr>
            <w:r>
              <w:rPr>
                <w:sz w:val="17"/>
              </w:rPr>
              <w:t>Ambiguous expressions are preserved and reported. Authors establish scope with brackets or Equation Editor.</w:t>
            </w:r>
          </w:p>
        </w:tc>
        <w:tc>
          <w:tcPr>
            <w:tcW w:type="dxa" w:w="3312"/>
            <w:shd w:fill="EEF5FB"/>
            <w:tcMar>
              <w:top w:w="100" w:type="dxa"/>
              <w:start w:w="110" w:type="dxa"/>
              <w:bottom w:w="100" w:type="dxa"/>
              <w:end w:w="110" w:type="dxa"/>
            </w:tcMar>
            <w:vAlign w:val="center"/>
          </w:tcPr>
          <w:p>
            <w:pPr>
              <w:spacing w:after="0"/>
            </w:pPr>
            <w:r>
              <w:rPr>
                <w:sz w:val="17"/>
              </w:rPr>
              <w:t>Changing scope changes the mathematics.</w:t>
            </w:r>
          </w:p>
        </w:tc>
      </w:tr>
      <w:tr>
        <w:trPr>
          <w:cantSplit w:val="true"/>
        </w:trPr>
        <w:tc>
          <w:tcPr>
            <w:tcW w:type="dxa" w:w="2952"/>
            <w:tcMar>
              <w:top w:w="100" w:type="dxa"/>
              <w:start w:w="110" w:type="dxa"/>
              <w:bottom w:w="100" w:type="dxa"/>
              <w:end w:w="110" w:type="dxa"/>
            </w:tcMar>
            <w:vAlign w:val="center"/>
          </w:tcPr>
          <w:p>
            <w:pPr>
              <w:spacing w:after="0"/>
            </w:pPr>
            <w:r>
              <w:rPr>
                <w:sz w:val="17"/>
              </w:rPr>
              <w:t>Mapping attempted as part of question preparation</w:t>
            </w:r>
          </w:p>
        </w:tc>
        <w:tc>
          <w:tcPr>
            <w:tcW w:type="dxa" w:w="4104"/>
            <w:tcMar>
              <w:top w:w="100" w:type="dxa"/>
              <w:start w:w="110" w:type="dxa"/>
              <w:bottom w:w="100" w:type="dxa"/>
              <w:end w:w="110" w:type="dxa"/>
            </w:tcMar>
            <w:vAlign w:val="center"/>
          </w:tcPr>
          <w:p>
            <w:pPr>
              <w:spacing w:after="0"/>
            </w:pPr>
            <w:r>
              <w:rPr>
                <w:sz w:val="17"/>
              </w:rPr>
              <w:t>The app first prepares mapping data; mappings are applied only after the snippets exist in CMS.</w:t>
            </w:r>
          </w:p>
        </w:tc>
        <w:tc>
          <w:tcPr>
            <w:tcW w:type="dxa" w:w="3312"/>
            <w:tcMar>
              <w:top w:w="100" w:type="dxa"/>
              <w:start w:w="110" w:type="dxa"/>
              <w:bottom w:w="100" w:type="dxa"/>
              <w:end w:w="110" w:type="dxa"/>
            </w:tcMar>
            <w:vAlign w:val="center"/>
          </w:tcPr>
          <w:p>
            <w:pPr>
              <w:spacing w:after="0"/>
            </w:pPr>
            <w:r>
              <w:rPr>
                <w:sz w:val="17"/>
              </w:rPr>
              <w:t>CMS cannot map a snippet that Anand’s population step has not yet created.</w:t>
            </w:r>
          </w:p>
        </w:tc>
      </w:tr>
      <w:tr>
        <w:trPr>
          <w:cantSplit w:val="true"/>
        </w:trPr>
        <w:tc>
          <w:tcPr>
            <w:tcW w:type="dxa" w:w="2952"/>
            <w:shd w:fill="EEF5FB"/>
            <w:tcMar>
              <w:top w:w="100" w:type="dxa"/>
              <w:start w:w="110" w:type="dxa"/>
              <w:bottom w:w="100" w:type="dxa"/>
              <w:end w:w="110" w:type="dxa"/>
            </w:tcMar>
            <w:vAlign w:val="center"/>
          </w:tcPr>
          <w:p>
            <w:pPr>
              <w:spacing w:after="0"/>
            </w:pPr>
            <w:r>
              <w:rPr>
                <w:sz w:val="17"/>
              </w:rPr>
              <w:t>Single mapping file format</w:t>
            </w:r>
          </w:p>
        </w:tc>
        <w:tc>
          <w:tcPr>
            <w:tcW w:type="dxa" w:w="4104"/>
            <w:shd w:fill="EEF5FB"/>
            <w:tcMar>
              <w:top w:w="100" w:type="dxa"/>
              <w:start w:w="110" w:type="dxa"/>
              <w:bottom w:w="100" w:type="dxa"/>
              <w:end w:w="110" w:type="dxa"/>
            </w:tcMar>
            <w:vAlign w:val="center"/>
          </w:tcPr>
          <w:p>
            <w:pPr>
              <w:spacing w:after="0"/>
            </w:pPr>
            <w:r>
              <w:rPr>
                <w:sz w:val="17"/>
              </w:rPr>
              <w:t>The mapping stage accepts CSV and XLSX; a worksheet selector appears for multi-sheet workbooks.</w:t>
            </w:r>
          </w:p>
        </w:tc>
        <w:tc>
          <w:tcPr>
            <w:tcW w:type="dxa" w:w="3312"/>
            <w:shd w:fill="EEF5FB"/>
            <w:tcMar>
              <w:top w:w="100" w:type="dxa"/>
              <w:start w:w="110" w:type="dxa"/>
              <w:bottom w:w="100" w:type="dxa"/>
              <w:end w:w="110" w:type="dxa"/>
            </w:tcMar>
            <w:vAlign w:val="center"/>
          </w:tcPr>
          <w:p>
            <w:pPr>
              <w:spacing w:after="0"/>
            </w:pPr>
            <w:r>
              <w:rPr>
                <w:sz w:val="17"/>
              </w:rPr>
              <w:t>Teams may receive mapping-only work in spreadsheets without a Word-processing task.</w:t>
            </w:r>
          </w:p>
        </w:tc>
      </w:tr>
    </w:tbl>
    <w:p>
      <w:pPr>
        <w:spacing w:after="0"/>
      </w:pPr>
    </w:p>
    <w:p>
      <w:pPr>
        <w:pStyle w:val="Heading2"/>
        <w:keepNext/>
      </w:pPr>
      <w:r>
        <w:t>Functions intentionally outside the app</w:t>
      </w:r>
    </w:p>
    <w:p>
      <w:pPr>
        <w:pStyle w:val="ListBullet"/>
      </w:pPr>
      <w:r>
        <w:t>The app does not perform mathematical content quality checking; the input must already be content-approved.</w:t>
      </w:r>
    </w:p>
    <w:p>
      <w:pPr>
        <w:pStyle w:val="ListBullet"/>
      </w:pPr>
      <w:r>
        <w:t>The app does not upload image files to CMS. Image upload remains a manual CMS step.</w:t>
      </w:r>
    </w:p>
    <w:p>
      <w:pPr>
        <w:pStyle w:val="ListBullet"/>
      </w:pPr>
      <w:r>
        <w:t>The app does not populate question editor content directly; Anand’s separate tool handles that step.</w:t>
      </w:r>
    </w:p>
    <w:p>
      <w:pPr>
        <w:pStyle w:val="ListBullet"/>
      </w:pPr>
      <w:r>
        <w:t>The app does not infer table headers or resolve mathematically ambiguous notation.</w:t>
      </w:r>
    </w:p>
    <w:p>
      <w:pPr>
        <w:pStyle w:val="Heading1"/>
        <w:keepNext/>
      </w:pPr>
      <w:r>
        <w:t>14. Troubleshooting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520"/>
            <w:shd w:fill="17365D"/>
            <w:tcMar>
              <w:top w:w="100" w:type="dxa"/>
              <w:start w:w="110" w:type="dxa"/>
              <w:bottom w:w="100" w:type="dxa"/>
              <w:end w:w="110" w:type="dxa"/>
            </w:tcMar>
            <w:vAlign w:val="center"/>
          </w:tcPr>
          <w:p>
            <w:pPr>
              <w:jc w:val="center"/>
            </w:pPr>
            <w:r>
              <w:rPr>
                <w:b/>
                <w:color w:val="FFFFFF"/>
                <w:sz w:val="18"/>
              </w:rPr>
              <w:t>Symptom</w:t>
            </w:r>
          </w:p>
        </w:tc>
        <w:tc>
          <w:tcPr>
            <w:tcW w:type="dxa" w:w="3672"/>
            <w:shd w:fill="17365D"/>
            <w:tcMar>
              <w:top w:w="100" w:type="dxa"/>
              <w:start w:w="110" w:type="dxa"/>
              <w:bottom w:w="100" w:type="dxa"/>
              <w:end w:w="110" w:type="dxa"/>
            </w:tcMar>
            <w:vAlign w:val="center"/>
          </w:tcPr>
          <w:p>
            <w:pPr>
              <w:jc w:val="center"/>
            </w:pPr>
            <w:r>
              <w:rPr>
                <w:b/>
                <w:color w:val="FFFFFF"/>
                <w:sz w:val="18"/>
              </w:rPr>
              <w:t>Likely cause</w:t>
            </w:r>
          </w:p>
        </w:tc>
        <w:tc>
          <w:tcPr>
            <w:tcW w:type="dxa" w:w="4176"/>
            <w:shd w:fill="17365D"/>
            <w:tcMar>
              <w:top w:w="100" w:type="dxa"/>
              <w:start w:w="110" w:type="dxa"/>
              <w:bottom w:w="100" w:type="dxa"/>
              <w:end w:w="110" w:type="dxa"/>
            </w:tcMar>
            <w:vAlign w:val="center"/>
          </w:tcPr>
          <w:p>
            <w:pPr>
              <w:jc w:val="center"/>
            </w:pPr>
            <w:r>
              <w:rPr>
                <w:b/>
                <w:color w:val="FFFFFF"/>
                <w:sz w:val="18"/>
              </w:rPr>
              <w:t>Resolution</w:t>
            </w:r>
          </w:p>
        </w:tc>
      </w:tr>
      <w:tr>
        <w:trPr>
          <w:cantSplit w:val="true"/>
        </w:trPr>
        <w:tc>
          <w:tcPr>
            <w:tcW w:type="dxa" w:w="2520"/>
            <w:tcMar>
              <w:top w:w="100" w:type="dxa"/>
              <w:start w:w="110" w:type="dxa"/>
              <w:bottom w:w="100" w:type="dxa"/>
              <w:end w:w="110" w:type="dxa"/>
            </w:tcMar>
            <w:vAlign w:val="center"/>
          </w:tcPr>
          <w:p>
            <w:pPr>
              <w:spacing w:after="0"/>
            </w:pPr>
            <w:r>
              <w:rPr>
                <w:sz w:val="17"/>
              </w:rPr>
              <w:t>First snippet ID error although the document has IDs</w:t>
            </w:r>
          </w:p>
        </w:tc>
        <w:tc>
          <w:tcPr>
            <w:tcW w:type="dxa" w:w="3672"/>
            <w:tcMar>
              <w:top w:w="100" w:type="dxa"/>
              <w:start w:w="110" w:type="dxa"/>
              <w:bottom w:w="100" w:type="dxa"/>
              <w:end w:w="110" w:type="dxa"/>
            </w:tcMar>
            <w:vAlign w:val="center"/>
          </w:tcPr>
          <w:p>
            <w:pPr>
              <w:spacing w:after="0"/>
            </w:pPr>
            <w:r>
              <w:rPr>
                <w:sz w:val="17"/>
              </w:rPr>
              <w:t>Replacement was selected, an ID is missing/invalid, or the old alias was not recognised in an older deployment.</w:t>
            </w:r>
          </w:p>
        </w:tc>
        <w:tc>
          <w:tcPr>
            <w:tcW w:type="dxa" w:w="4176"/>
            <w:tcMar>
              <w:top w:w="100" w:type="dxa"/>
              <w:start w:w="110" w:type="dxa"/>
              <w:bottom w:w="100" w:type="dxa"/>
              <w:end w:w="110" w:type="dxa"/>
            </w:tcMar>
            <w:vAlign w:val="center"/>
          </w:tcPr>
          <w:p>
            <w:r>
              <w:t>In Version 14.12, leave replacement clear and use positive New snippet id: or Snippet id: in every question. Wait for the latest Streamlit deployment if necessary.</w:t>
            </w:r>
          </w:p>
        </w:tc>
      </w:tr>
      <w:tr>
        <w:trPr>
          <w:cantSplit w:val="true"/>
        </w:trPr>
        <w:tc>
          <w:tcPr>
            <w:tcW w:type="dxa" w:w="2520"/>
            <w:shd w:fill="EEF5FB"/>
            <w:tcMar>
              <w:top w:w="100" w:type="dxa"/>
              <w:start w:w="110" w:type="dxa"/>
              <w:bottom w:w="100" w:type="dxa"/>
              <w:end w:w="110" w:type="dxa"/>
            </w:tcMar>
            <w:vAlign w:val="center"/>
          </w:tcPr>
          <w:p>
            <w:pPr>
              <w:spacing w:after="0"/>
            </w:pPr>
            <w:r>
              <w:rPr>
                <w:sz w:val="17"/>
              </w:rPr>
              <w:t>Fewer questions detected</w:t>
            </w:r>
          </w:p>
        </w:tc>
        <w:tc>
          <w:tcPr>
            <w:tcW w:type="dxa" w:w="3672"/>
            <w:shd w:fill="EEF5FB"/>
            <w:tcMar>
              <w:top w:w="100" w:type="dxa"/>
              <w:start w:w="110" w:type="dxa"/>
              <w:bottom w:w="100" w:type="dxa"/>
              <w:end w:w="110" w:type="dxa"/>
            </w:tcMar>
            <w:vAlign w:val="center"/>
          </w:tcPr>
          <w:p>
            <w:r>
              <w:t>A heading is malformed, placed within an unsupported multiline structure or resembles ordinary question text.</w:t>
            </w:r>
          </w:p>
        </w:tc>
        <w:tc>
          <w:tcPr>
            <w:tcW w:type="dxa" w:w="4176"/>
            <w:shd w:fill="EEF5FB"/>
            <w:tcMar>
              <w:top w:w="100" w:type="dxa"/>
              <w:start w:w="110" w:type="dxa"/>
              <w:bottom w:w="100" w:type="dxa"/>
              <w:end w:w="110" w:type="dxa"/>
            </w:tcMar>
            <w:vAlign w:val="center"/>
          </w:tcPr>
          <w:p>
            <w:r>
              <w:t>Read the numbering diagnostic. It identifies a missing number, unrecognised heading candidate or multiline heading and gives a paragraph position where available.</w:t>
            </w:r>
          </w:p>
        </w:tc>
      </w:tr>
      <w:tr>
        <w:trPr>
          <w:cantSplit w:val="true"/>
        </w:trPr>
        <w:tc>
          <w:tcPr>
            <w:tcW w:type="dxa" w:w="2520"/>
            <w:tcMar>
              <w:top w:w="100" w:type="dxa"/>
              <w:start w:w="110" w:type="dxa"/>
              <w:bottom w:w="100" w:type="dxa"/>
              <w:end w:w="110" w:type="dxa"/>
            </w:tcMar>
            <w:vAlign w:val="center"/>
          </w:tcPr>
          <w:p>
            <w:pPr>
              <w:spacing w:after="0"/>
            </w:pPr>
            <w:r>
              <w:rPr>
                <w:sz w:val="17"/>
              </w:rPr>
              <w:t>CMS-ready downloads withheld</w:t>
            </w:r>
          </w:p>
        </w:tc>
        <w:tc>
          <w:tcPr>
            <w:tcW w:type="dxa" w:w="3672"/>
            <w:tcMar>
              <w:top w:w="100" w:type="dxa"/>
              <w:start w:w="110" w:type="dxa"/>
              <w:bottom w:w="100" w:type="dxa"/>
              <w:end w:w="110" w:type="dxa"/>
            </w:tcMar>
            <w:vAlign w:val="center"/>
          </w:tcPr>
          <w:p>
            <w:pPr>
              <w:spacing w:after="0"/>
            </w:pPr>
            <w:r>
              <w:rPr>
                <w:sz w:val="17"/>
              </w:rPr>
              <w:t>Numbering is duplicated, missing or out of order.</w:t>
            </w:r>
          </w:p>
        </w:tc>
        <w:tc>
          <w:tcPr>
            <w:tcW w:type="dxa" w:w="4176"/>
            <w:tcMar>
              <w:top w:w="100" w:type="dxa"/>
              <w:start w:w="110" w:type="dxa"/>
              <w:bottom w:w="100" w:type="dxa"/>
              <w:end w:w="110" w:type="dxa"/>
            </w:tcMar>
            <w:vAlign w:val="center"/>
          </w:tcPr>
          <w:p>
            <w:pPr>
              <w:spacing w:after="0"/>
            </w:pPr>
            <w:r>
              <w:rPr>
                <w:sz w:val="17"/>
              </w:rPr>
              <w:t>Correct source headings and process again.</w:t>
            </w:r>
          </w:p>
        </w:tc>
      </w:tr>
      <w:tr>
        <w:trPr>
          <w:cantSplit w:val="true"/>
        </w:trPr>
        <w:tc>
          <w:tcPr>
            <w:tcW w:type="dxa" w:w="2520"/>
            <w:shd w:fill="EEF5FB"/>
            <w:tcMar>
              <w:top w:w="100" w:type="dxa"/>
              <w:start w:w="110" w:type="dxa"/>
              <w:bottom w:w="100" w:type="dxa"/>
              <w:end w:w="110" w:type="dxa"/>
            </w:tcMar>
            <w:vAlign w:val="center"/>
          </w:tcPr>
          <w:p>
            <w:pPr>
              <w:spacing w:after="0"/>
            </w:pPr>
            <w:r>
              <w:rPr>
                <w:sz w:val="17"/>
              </w:rPr>
              <w:t>MCQ became FIB or was not structured</w:t>
            </w:r>
          </w:p>
        </w:tc>
        <w:tc>
          <w:tcPr>
            <w:tcW w:type="dxa" w:w="3672"/>
            <w:shd w:fill="EEF5FB"/>
            <w:tcMar>
              <w:top w:w="100" w:type="dxa"/>
              <w:start w:w="110" w:type="dxa"/>
              <w:bottom w:w="100" w:type="dxa"/>
              <w:end w:w="110" w:type="dxa"/>
            </w:tcMar>
            <w:vAlign w:val="center"/>
          </w:tcPr>
          <w:p>
            <w:pPr>
              <w:spacing w:after="0"/>
            </w:pPr>
            <w:r>
              <w:rPr>
                <w:sz w:val="17"/>
              </w:rPr>
              <w:t>Choices are not four identifiable a)–d) paragraphs, or the answer key is absent/conflicting.</w:t>
            </w:r>
          </w:p>
        </w:tc>
        <w:tc>
          <w:tcPr>
            <w:tcW w:type="dxa" w:w="4176"/>
            <w:shd w:fill="EEF5FB"/>
            <w:tcMar>
              <w:top w:w="100" w:type="dxa"/>
              <w:start w:w="110" w:type="dxa"/>
              <w:bottom w:w="100" w:type="dxa"/>
              <w:end w:w="110" w:type="dxa"/>
            </w:tcMar>
            <w:vAlign w:val="center"/>
          </w:tcPr>
          <w:p>
            <w:pPr>
              <w:spacing w:after="0"/>
            </w:pPr>
            <w:r>
              <w:rPr>
                <w:sz w:val="17"/>
              </w:rPr>
              <w:t>Use the ideal MCQ template at the start of this guide.</w:t>
            </w:r>
          </w:p>
        </w:tc>
      </w:tr>
      <w:tr>
        <w:trPr>
          <w:cantSplit w:val="true"/>
        </w:trPr>
        <w:tc>
          <w:tcPr>
            <w:tcW w:type="dxa" w:w="2520"/>
            <w:tcMar>
              <w:top w:w="100" w:type="dxa"/>
              <w:start w:w="110" w:type="dxa"/>
              <w:bottom w:w="100" w:type="dxa"/>
              <w:end w:w="110" w:type="dxa"/>
            </w:tcMar>
            <w:vAlign w:val="center"/>
          </w:tcPr>
          <w:p>
            <w:pPr>
              <w:spacing w:after="0"/>
            </w:pPr>
            <w:r>
              <w:rPr>
                <w:sz w:val="17"/>
              </w:rPr>
              <w:t>Fraction/radical remains ordinary text</w:t>
            </w:r>
          </w:p>
        </w:tc>
        <w:tc>
          <w:tcPr>
            <w:tcW w:type="dxa" w:w="3672"/>
            <w:tcMar>
              <w:top w:w="100" w:type="dxa"/>
              <w:start w:w="110" w:type="dxa"/>
              <w:bottom w:w="100" w:type="dxa"/>
              <w:end w:w="110" w:type="dxa"/>
            </w:tcMar>
            <w:vAlign w:val="center"/>
          </w:tcPr>
          <w:p>
            <w:pPr>
              <w:spacing w:after="0"/>
            </w:pPr>
            <w:r>
              <w:rPr>
                <w:sz w:val="17"/>
              </w:rPr>
              <w:t>The expression is ambiguous or stored in a complex Word run.</w:t>
            </w:r>
          </w:p>
        </w:tc>
        <w:tc>
          <w:tcPr>
            <w:tcW w:type="dxa" w:w="4176"/>
            <w:tcMar>
              <w:top w:w="100" w:type="dxa"/>
              <w:start w:w="110" w:type="dxa"/>
              <w:bottom w:w="100" w:type="dxa"/>
              <w:end w:w="110" w:type="dxa"/>
            </w:tcMar>
            <w:vAlign w:val="center"/>
          </w:tcPr>
          <w:p>
            <w:pPr>
              <w:spacing w:after="0"/>
            </w:pPr>
            <w:r>
              <w:rPr>
                <w:sz w:val="17"/>
              </w:rPr>
              <w:t>Add brackets or create it with Insert → Equation.</w:t>
            </w:r>
          </w:p>
        </w:tc>
      </w:tr>
      <w:tr>
        <w:trPr>
          <w:cantSplit w:val="true"/>
        </w:trPr>
        <w:tc>
          <w:tcPr>
            <w:tcW w:type="dxa" w:w="2520"/>
            <w:shd w:fill="EEF5FB"/>
            <w:tcMar>
              <w:top w:w="100" w:type="dxa"/>
              <w:start w:w="110" w:type="dxa"/>
              <w:bottom w:w="100" w:type="dxa"/>
              <w:end w:w="110" w:type="dxa"/>
            </w:tcMar>
            <w:vAlign w:val="center"/>
          </w:tcPr>
          <w:p>
            <w:pPr>
              <w:spacing w:after="0"/>
            </w:pPr>
            <w:r>
              <w:rPr>
                <w:sz w:val="17"/>
              </w:rPr>
              <w:t>Mapping file is accepted but nothing maps</w:t>
            </w:r>
          </w:p>
        </w:tc>
        <w:tc>
          <w:tcPr>
            <w:tcW w:type="dxa" w:w="3672"/>
            <w:shd w:fill="EEF5FB"/>
            <w:tcMar>
              <w:top w:w="100" w:type="dxa"/>
              <w:start w:w="110" w:type="dxa"/>
              <w:bottom w:w="100" w:type="dxa"/>
              <w:end w:w="110" w:type="dxa"/>
            </w:tcMar>
            <w:vAlign w:val="center"/>
          </w:tcPr>
          <w:p>
            <w:pPr>
              <w:spacing w:after="0"/>
            </w:pPr>
            <w:r>
              <w:rPr>
                <w:sz w:val="17"/>
              </w:rPr>
              <w:t>A snippet does not exist, a path is misspelled/missing, or the CMS tree has an ambiguous duplicate path.</w:t>
            </w:r>
          </w:p>
        </w:tc>
        <w:tc>
          <w:tcPr>
            <w:tcW w:type="dxa" w:w="4176"/>
            <w:shd w:fill="EEF5FB"/>
            <w:tcMar>
              <w:top w:w="100" w:type="dxa"/>
              <w:start w:w="110" w:type="dxa"/>
              <w:bottom w:w="100" w:type="dxa"/>
              <w:end w:w="110" w:type="dxa"/>
            </w:tcMar>
            <w:vAlign w:val="center"/>
          </w:tcPr>
          <w:p>
            <w:pPr>
              <w:spacing w:after="0"/>
            </w:pPr>
            <w:r>
              <w:rPr>
                <w:sz w:val="17"/>
              </w:rPr>
              <w:t>Read the full red pre-check message, correct every listed item, then retry.</w:t>
            </w:r>
          </w:p>
        </w:tc>
      </w:tr>
      <w:tr>
        <w:trPr>
          <w:cantSplit w:val="true"/>
        </w:trPr>
        <w:tc>
          <w:tcPr>
            <w:tcW w:type="dxa" w:w="2520"/>
            <w:tcMar>
              <w:top w:w="100" w:type="dxa"/>
              <w:start w:w="110" w:type="dxa"/>
              <w:bottom w:w="100" w:type="dxa"/>
              <w:end w:w="110" w:type="dxa"/>
            </w:tcMar>
            <w:vAlign w:val="center"/>
          </w:tcPr>
          <w:p>
            <w:pPr>
              <w:spacing w:after="0"/>
            </w:pPr>
            <w:r>
              <w:rPr>
                <w:sz w:val="17"/>
              </w:rPr>
              <w:t>Image receives REVIEW filename</w:t>
            </w:r>
          </w:p>
        </w:tc>
        <w:tc>
          <w:tcPr>
            <w:tcW w:type="dxa" w:w="3672"/>
            <w:tcMar>
              <w:top w:w="100" w:type="dxa"/>
              <w:start w:w="110" w:type="dxa"/>
              <w:bottom w:w="100" w:type="dxa"/>
              <w:end w:w="110" w:type="dxa"/>
            </w:tcMar>
            <w:vAlign w:val="center"/>
          </w:tcPr>
          <w:p>
            <w:pPr>
              <w:spacing w:after="0"/>
            </w:pPr>
            <w:r>
              <w:rPr>
                <w:sz w:val="17"/>
              </w:rPr>
              <w:t>Its question or section could not be identified, or it is in an FIB Answers block.</w:t>
            </w:r>
          </w:p>
        </w:tc>
        <w:tc>
          <w:tcPr>
            <w:tcW w:type="dxa" w:w="4176"/>
            <w:tcMar>
              <w:top w:w="100" w:type="dxa"/>
              <w:start w:w="110" w:type="dxa"/>
              <w:bottom w:w="100" w:type="dxa"/>
              <w:end w:w="110" w:type="dxa"/>
            </w:tcMar>
            <w:vAlign w:val="center"/>
          </w:tcPr>
          <w:p>
            <w:pPr>
              <w:spacing w:after="0"/>
            </w:pPr>
            <w:r>
              <w:rPr>
                <w:sz w:val="17"/>
              </w:rPr>
              <w:t>Move it into Question/Choice/Solution content or remove it.</w:t>
            </w:r>
          </w:p>
        </w:tc>
      </w:tr>
      <w:tr>
        <w:trPr>
          <w:cantSplit w:val="true"/>
        </w:trPr>
        <w:tc>
          <w:tcPr>
            <w:tcW w:type="dxa" w:w="2520"/>
            <w:shd w:fill="EEF5FB"/>
            <w:tcMar>
              <w:top w:w="100" w:type="dxa"/>
              <w:start w:w="110" w:type="dxa"/>
              <w:bottom w:w="100" w:type="dxa"/>
              <w:end w:w="110" w:type="dxa"/>
            </w:tcMar>
            <w:vAlign w:val="center"/>
          </w:tcPr>
          <w:p>
            <w:pPr>
              <w:spacing w:after="0"/>
            </w:pPr>
            <w:r>
              <w:rPr>
                <w:sz w:val="17"/>
              </w:rPr>
              <w:t>No tags were added</w:t>
            </w:r>
          </w:p>
        </w:tc>
        <w:tc>
          <w:tcPr>
            <w:tcW w:type="dxa" w:w="3672"/>
            <w:shd w:fill="EEF5FB"/>
            <w:tcMar>
              <w:top w:w="100" w:type="dxa"/>
              <w:start w:w="110" w:type="dxa"/>
              <w:bottom w:w="100" w:type="dxa"/>
              <w:end w:w="110" w:type="dxa"/>
            </w:tcMar>
            <w:vAlign w:val="center"/>
          </w:tcPr>
          <w:p>
            <w:pPr>
              <w:spacing w:after="0"/>
            </w:pPr>
            <w:r>
              <w:rPr>
                <w:sz w:val="17"/>
              </w:rPr>
              <w:t>CMS tags and question structure was cleared.</w:t>
            </w:r>
          </w:p>
        </w:tc>
        <w:tc>
          <w:tcPr>
            <w:tcW w:type="dxa" w:w="4176"/>
            <w:shd w:fill="EEF5FB"/>
            <w:tcMar>
              <w:top w:w="100" w:type="dxa"/>
              <w:start w:w="110" w:type="dxa"/>
              <w:bottom w:w="100" w:type="dxa"/>
              <w:end w:w="110" w:type="dxa"/>
            </w:tcMar>
            <w:vAlign w:val="center"/>
          </w:tcPr>
          <w:p>
            <w:pPr>
              <w:spacing w:after="0"/>
            </w:pPr>
            <w:r>
              <w:rPr>
                <w:sz w:val="17"/>
              </w:rPr>
              <w:t>Select section 1 and process again.</w:t>
            </w:r>
          </w:p>
        </w:tc>
      </w:tr>
      <w:tr>
        <w:trPr>
          <w:cantSplit w:val="true"/>
        </w:trPr>
        <w:tc>
          <w:tcPr>
            <w:tcW w:type="dxa" w:w="2520"/>
            <w:tcMar>
              <w:top w:w="100" w:type="dxa"/>
              <w:start w:w="110" w:type="dxa"/>
              <w:bottom w:w="100" w:type="dxa"/>
              <w:end w:w="110" w:type="dxa"/>
            </w:tcMar>
            <w:vAlign w:val="center"/>
          </w:tcPr>
          <w:p>
            <w:pPr>
              <w:spacing w:after="0"/>
            </w:pPr>
            <w:r>
              <w:rPr>
                <w:sz w:val="17"/>
              </w:rPr>
              <w:t>Text or math was changed unexpectedly</w:t>
            </w:r>
          </w:p>
        </w:tc>
        <w:tc>
          <w:tcPr>
            <w:tcW w:type="dxa" w:w="3672"/>
            <w:tcMar>
              <w:top w:w="100" w:type="dxa"/>
              <w:start w:w="110" w:type="dxa"/>
              <w:bottom w:w="100" w:type="dxa"/>
              <w:end w:w="110" w:type="dxa"/>
            </w:tcMar>
            <w:vAlign w:val="center"/>
          </w:tcPr>
          <w:p>
            <w:pPr>
              <w:spacing w:after="0"/>
            </w:pPr>
            <w:r>
              <w:rPr>
                <w:sz w:val="17"/>
              </w:rPr>
              <w:t>The corresponding formatting section was selected.</w:t>
            </w:r>
          </w:p>
        </w:tc>
        <w:tc>
          <w:tcPr>
            <w:tcW w:type="dxa" w:w="4176"/>
            <w:tcMar>
              <w:top w:w="100" w:type="dxa"/>
              <w:start w:w="110" w:type="dxa"/>
              <w:bottom w:w="100" w:type="dxa"/>
              <w:end w:w="110" w:type="dxa"/>
            </w:tcMar>
            <w:vAlign w:val="center"/>
          </w:tcPr>
          <w:p>
            <w:pPr>
              <w:spacing w:after="0"/>
            </w:pPr>
            <w:r>
              <w:rPr>
                <w:sz w:val="17"/>
              </w:rPr>
              <w:t>Clear sections 3 and/or 4 when those changes are not wanted.</w:t>
            </w:r>
          </w:p>
        </w:tc>
      </w:tr>
      <w:tr>
        <w:tc>
          <w:tcPr>
            <w:tcW w:type="dxa" w:w="3389"/>
          </w:tcPr>
          <w:p>
            <w:r>
              <w:t>Processing stops because an original equation changed</w:t>
            </w:r>
          </w:p>
        </w:tc>
        <w:tc>
          <w:tcPr>
            <w:tcW w:type="dxa" w:w="3389"/>
          </w:tcPr>
          <w:p>
            <w:r>
              <w:t>The equation-integrity check found missing/changed mathematical text or a changed structural operator.</w:t>
            </w:r>
          </w:p>
        </w:tc>
        <w:tc>
          <w:tcPr>
            <w:tcW w:type="dxa" w:w="3389"/>
          </w:tcPr>
          <w:p>
            <w:r>
              <w:t>Inspect the reported question, paragraph and equation number. The safeguard is not bypassed and no processed DOCX is released.</w:t>
            </w:r>
          </w:p>
        </w:tc>
      </w:tr>
    </w:tbl>
    <w:p>
      <w:pPr>
        <w:spacing w:after="0"/>
      </w:pPr>
    </w:p>
    <w:p>
      <w:pPr>
        <w:pStyle w:val="Heading1"/>
        <w:keepNext/>
      </w:pPr>
      <w:r>
        <w:t>15. Final team checklists</w:t>
      </w:r>
    </w:p>
    <w:p>
      <w:pPr>
        <w:pStyle w:val="Heading2"/>
        <w:keepNext/>
      </w:pPr>
      <w:r>
        <w:t>Author checklist</w:t>
      </w:r>
    </w:p>
    <w:p>
      <w:pPr>
        <w:pStyle w:val="ListBullet"/>
      </w:pPr>
      <w:r>
        <w:t>☐ Content and answers have completed mathematical quality checking.</w:t>
      </w:r>
    </w:p>
    <w:p>
      <w:pPr>
        <w:pStyle w:val="ListBullet"/>
      </w:pPr>
      <w:r>
        <w:t>☐ Each question uses the MCQ or FIB template and each structural line ends with Enter.</w:t>
      </w:r>
    </w:p>
    <w:p>
      <w:pPr>
        <w:pStyle w:val="ListBullet"/>
      </w:pPr>
      <w:r>
        <w:t>☐ Source question numbers are unique, sequential and ascending.</w:t>
      </w:r>
    </w:p>
    <w:p>
      <w:pPr>
        <w:pStyle w:val="ListBullet"/>
      </w:pPr>
      <w:r>
        <w:t>☐ Four MCQ choices and one matching answer key are present.</w:t>
      </w:r>
    </w:p>
    <w:p>
      <w:pPr>
        <w:pStyle w:val="ListBullet"/>
      </w:pPr>
      <w:r>
        <w:t>☐ Ambiguous fractions, radicals and exponents use brackets or Word Equation Editor.</w:t>
      </w:r>
    </w:p>
    <w:p>
      <w:pPr>
        <w:pStyle w:val="ListBullet"/>
      </w:pPr>
      <w:r>
        <w:t>☐ Variables and geometry labels are clearly expressed; units remain upright.</w:t>
      </w:r>
    </w:p>
    <w:p>
      <w:pPr>
        <w:pStyle w:val="ListBullet"/>
      </w:pPr>
      <w:r>
        <w:t>☐ Table headers are correctly identified and bolded by the author.</w:t>
      </w:r>
    </w:p>
    <w:p>
      <w:pPr>
        <w:pStyle w:val="ListBullet"/>
      </w:pPr>
      <w:r>
        <w:t>☐ Mapping paths use exact CMS hierarchy names and spelling.</w:t>
      </w:r>
    </w:p>
    <w:p>
      <w:pPr>
        <w:pStyle w:val="ListBullet"/>
      </w:pPr>
      <w:r>
        <w:t>☐ No image is used as an FIB answer.</w:t>
      </w:r>
    </w:p>
    <w:p>
      <w:pPr>
        <w:pStyle w:val="Heading2"/>
        <w:keepNext/>
      </w:pPr>
      <w:r>
        <w:t>Processor operator checklist</w:t>
      </w:r>
    </w:p>
    <w:p>
      <w:pPr>
        <w:pStyle w:val="ListBullet"/>
      </w:pPr>
      <w:r>
        <w:t>☐ Only the required processing sections are selected.</w:t>
      </w:r>
    </w:p>
    <w:p>
      <w:pPr>
        <w:pStyle w:val="ListBullet"/>
      </w:pPr>
      <w:r>
        <w:t>☐ Project ID, First question number and snippet-ID settings are correct.</w:t>
      </w:r>
    </w:p>
    <w:p>
      <w:pPr>
        <w:pStyle w:val="ListBullet"/>
      </w:pPr>
      <w:r>
        <w:t>☐ Questions detected matches the expected source count.</w:t>
      </w:r>
    </w:p>
    <w:p>
      <w:pPr>
        <w:pStyle w:val="ListBullet"/>
      </w:pPr>
      <w:r>
        <w:t>☐ Action required has been reviewed and resolved where necessary.</w:t>
      </w:r>
    </w:p>
    <w:p>
      <w:pPr>
        <w:pStyle w:val="ListBullet"/>
      </w:pPr>
      <w:r>
        <w:t>☐ Processed DOCX, images ZIP, mapping CSV and JSON audit were downloaded as required.</w:t>
      </w:r>
    </w:p>
    <w:p>
      <w:pPr>
        <w:pStyle w:val="ListBullet"/>
      </w:pPr>
      <w:r>
        <w:t>☐ Numbering status is not BLOCKED_NUMBERING_ERROR.</w:t>
      </w:r>
    </w:p>
    <w:p>
      <w:pPr>
        <w:pStyle w:val="Heading2"/>
        <w:keepNext/>
      </w:pPr>
      <w:r>
        <w:t>CMS and verification checklist</w:t>
      </w:r>
    </w:p>
    <w:p>
      <w:pPr>
        <w:pStyle w:val="ListBullet"/>
      </w:pPr>
      <w:r>
        <w:t>☐ GIF files were manually uploaded to the correct CMS image folders.</w:t>
      </w:r>
    </w:p>
    <w:p>
      <w:pPr>
        <w:pStyle w:val="ListBullet"/>
      </w:pPr>
      <w:r>
        <w:t>☐ Anand’s tool created the CMS snippets before mapping was attempted.</w:t>
      </w:r>
    </w:p>
    <w:p>
      <w:pPr>
        <w:pStyle w:val="ListBullet"/>
      </w:pPr>
      <w:r>
        <w:t>☐ The mapping pre-check passed and mapping results contain no Problem rows.</w:t>
      </w:r>
    </w:p>
    <w:p>
      <w:pPr>
        <w:pStyle w:val="ListBullet"/>
      </w:pPr>
      <w:r>
        <w:t>☐ Existing mappings remained present and requested new mappings were added.</w:t>
      </w:r>
    </w:p>
    <w:p>
      <w:pPr>
        <w:pStyle w:val="ListBullet"/>
      </w:pPr>
      <w:r>
        <w:t>☐ Question text, mathematics, choices/answers, images and solutions were visually verified in CMS.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r>
      <w:rPr>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464646"/>
        <w:sz w:val="17"/>
      </w:rPr>
      <w:t>CMS DOCX Verification Processor  |  Team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414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6464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spacing w:after="30"/>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Text">
    <w:name w:val="Template Text"/>
    <w:pPr>
      <w:spacing w:before="40" w:after="160" w:line="245" w:lineRule="auto"/>
      <w:ind w:left="317" w:right="216"/>
      <w:shd w:fill="F2F2F2"/>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DOCX Verification Processor Team Guide</dc:title>
  <dc:subject>Current authoring, processing, image and CMS mapping workflow</dc:subject>
  <dc:creator>HeyMath team</dc:creator>
  <cp:keywords>CMS, DOCX, question bank, Streamlit, images, mapping</cp:keywords>
  <dc:description>generated by python-docx</dc:description>
  <cp:lastModifiedBy/>
  <cp:revision>1</cp:revision>
  <dcterms:created xsi:type="dcterms:W3CDTF">2013-12-23T23:15:00Z</dcterms:created>
  <dcterms:modified xsi:type="dcterms:W3CDTF">2013-12-23T23:15:00Z</dcterms:modified>
  <cp:category/>
</cp:coreProperties>
</file>