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F0A0" w14:textId="0D0557CD" w:rsidR="009A2927" w:rsidRDefault="001B18D5" w:rsidP="001B18D5">
      <w:pPr>
        <w:spacing w:line="480" w:lineRule="auto"/>
        <w:jc w:val="both"/>
        <w:rPr>
          <w:rFonts w:ascii="Times New Roman" w:hAnsi="Times New Roman" w:cs="Times New Roman"/>
        </w:rPr>
      </w:pPr>
      <w:r>
        <w:rPr>
          <w:rFonts w:ascii="Times New Roman" w:hAnsi="Times New Roman" w:cs="Times New Roman"/>
          <w:b/>
          <w:bCs/>
        </w:rPr>
        <w:t xml:space="preserve">ACTIVITY 2: </w:t>
      </w:r>
      <w:r w:rsidRPr="001B18D5">
        <w:rPr>
          <w:rFonts w:ascii="Times New Roman" w:hAnsi="Times New Roman" w:cs="Times New Roman"/>
        </w:rPr>
        <w:t>Architec-Tour: Mapping the City Systems</w:t>
      </w:r>
    </w:p>
    <w:p w14:paraId="7EDDEE9A" w14:textId="4673EA8A" w:rsidR="001B18D5" w:rsidRPr="005169D7" w:rsidRDefault="001B18D5" w:rsidP="001B18D5">
      <w:pPr>
        <w:spacing w:line="480" w:lineRule="auto"/>
        <w:jc w:val="both"/>
        <w:rPr>
          <w:rFonts w:ascii="Times New Roman" w:hAnsi="Times New Roman" w:cs="Times New Roman"/>
        </w:rPr>
      </w:pPr>
      <w:r w:rsidRPr="001B18D5">
        <w:rPr>
          <w:rFonts w:ascii="Times New Roman" w:hAnsi="Times New Roman" w:cs="Times New Roman"/>
          <w:b/>
          <w:bCs/>
        </w:rPr>
        <w:t>Enterprise:</w:t>
      </w:r>
      <w:r w:rsidR="005169D7">
        <w:rPr>
          <w:rFonts w:ascii="Times New Roman" w:hAnsi="Times New Roman" w:cs="Times New Roman"/>
          <w:b/>
          <w:bCs/>
        </w:rPr>
        <w:t xml:space="preserve"> </w:t>
      </w:r>
      <w:r w:rsidR="005169D7">
        <w:rPr>
          <w:rFonts w:ascii="Times New Roman" w:hAnsi="Times New Roman" w:cs="Times New Roman"/>
        </w:rPr>
        <w:t>City-Wide Courier Management System</w:t>
      </w:r>
    </w:p>
    <w:p w14:paraId="494B58D0" w14:textId="029AB325" w:rsidR="00F10C66" w:rsidRDefault="001B18D5" w:rsidP="001B18D5">
      <w:pPr>
        <w:spacing w:line="480" w:lineRule="auto"/>
        <w:jc w:val="both"/>
        <w:rPr>
          <w:rFonts w:ascii="Times New Roman" w:hAnsi="Times New Roman" w:cs="Times New Roman"/>
        </w:rPr>
      </w:pPr>
      <w:r>
        <w:rPr>
          <w:rFonts w:ascii="Times New Roman" w:hAnsi="Times New Roman" w:cs="Times New Roman"/>
          <w:b/>
          <w:bCs/>
        </w:rPr>
        <w:t>Description:</w:t>
      </w:r>
      <w:r w:rsidR="005169D7">
        <w:rPr>
          <w:rFonts w:ascii="Times New Roman" w:hAnsi="Times New Roman" w:cs="Times New Roman"/>
          <w:b/>
          <w:bCs/>
        </w:rPr>
        <w:t xml:space="preserve"> </w:t>
      </w:r>
      <w:r w:rsidR="00F10C66" w:rsidRPr="00F10C66">
        <w:rPr>
          <w:rFonts w:ascii="Times New Roman" w:hAnsi="Times New Roman" w:cs="Times New Roman"/>
        </w:rPr>
        <w:t>The City-Wide Courier and Service Management System is a smart platform that manages public service requests, document and goods delivery, and communication between citizens, barangays, and city departments. It supports real-time tracking of couriers, emergency responses, licensing, tax collection, traffic updates, health notifications, and citizen feedback. The system enhances operational speed, transparency, and coordination across all urban services.</w:t>
      </w:r>
      <w:r w:rsidR="00CF7FB8">
        <w:rPr>
          <w:rFonts w:ascii="Times New Roman" w:hAnsi="Times New Roman" w:cs="Times New Roman"/>
        </w:rPr>
        <w:t xml:space="preserve"> </w:t>
      </w:r>
      <w:r w:rsidR="00F10C66" w:rsidRPr="00F10C66">
        <w:rPr>
          <w:rFonts w:ascii="Times New Roman" w:hAnsi="Times New Roman" w:cs="Times New Roman"/>
        </w:rPr>
        <w:t>Through real-time dashboards, business process automation, and mobile enablement, the C</w:t>
      </w:r>
      <w:r w:rsidR="00F10C66">
        <w:rPr>
          <w:rFonts w:ascii="Times New Roman" w:hAnsi="Times New Roman" w:cs="Times New Roman"/>
        </w:rPr>
        <w:t xml:space="preserve">ity-wide </w:t>
      </w:r>
      <w:r w:rsidR="00F10C66" w:rsidRPr="00F10C66">
        <w:rPr>
          <w:rFonts w:ascii="Times New Roman" w:hAnsi="Times New Roman" w:cs="Times New Roman"/>
        </w:rPr>
        <w:t>M</w:t>
      </w:r>
      <w:r w:rsidR="00F10C66">
        <w:rPr>
          <w:rFonts w:ascii="Times New Roman" w:hAnsi="Times New Roman" w:cs="Times New Roman"/>
        </w:rPr>
        <w:t xml:space="preserve">anagement </w:t>
      </w:r>
      <w:r w:rsidR="00F10C66" w:rsidRPr="00F10C66">
        <w:rPr>
          <w:rFonts w:ascii="Times New Roman" w:hAnsi="Times New Roman" w:cs="Times New Roman"/>
        </w:rPr>
        <w:t>S</w:t>
      </w:r>
      <w:r w:rsidR="00F10C66">
        <w:rPr>
          <w:rFonts w:ascii="Times New Roman" w:hAnsi="Times New Roman" w:cs="Times New Roman"/>
        </w:rPr>
        <w:t>ystem</w:t>
      </w:r>
      <w:r w:rsidR="00F10C66" w:rsidRPr="00F10C66">
        <w:rPr>
          <w:rFonts w:ascii="Times New Roman" w:hAnsi="Times New Roman" w:cs="Times New Roman"/>
        </w:rPr>
        <w:t xml:space="preserve"> enhances the city's responsiveness, operational efficiency, and service delivery to citizens.</w:t>
      </w:r>
    </w:p>
    <w:p w14:paraId="1D74B704" w14:textId="24311EE7" w:rsidR="001B18D5" w:rsidRPr="00A8353F" w:rsidRDefault="001B18D5" w:rsidP="001B18D5">
      <w:pPr>
        <w:spacing w:line="480" w:lineRule="auto"/>
        <w:jc w:val="both"/>
        <w:rPr>
          <w:rFonts w:ascii="Times New Roman" w:hAnsi="Times New Roman" w:cs="Times New Roman"/>
        </w:rPr>
      </w:pPr>
      <w:r>
        <w:rPr>
          <w:rFonts w:ascii="Times New Roman" w:hAnsi="Times New Roman" w:cs="Times New Roman"/>
          <w:b/>
          <w:bCs/>
        </w:rPr>
        <w:t>System Architecture:</w:t>
      </w:r>
      <w:r w:rsidR="00A8353F">
        <w:rPr>
          <w:rFonts w:ascii="Times New Roman" w:hAnsi="Times New Roman" w:cs="Times New Roman"/>
          <w:b/>
          <w:bCs/>
        </w:rPr>
        <w:t xml:space="preserve"> </w:t>
      </w:r>
      <w:r w:rsidR="00A86B66" w:rsidRPr="00A86B66">
        <w:rPr>
          <w:rFonts w:ascii="Times New Roman" w:hAnsi="Times New Roman" w:cs="Times New Roman"/>
        </w:rPr>
        <w:t>Microservices</w:t>
      </w:r>
      <w:r w:rsidR="00A86B66">
        <w:rPr>
          <w:rFonts w:ascii="Times New Roman" w:hAnsi="Times New Roman" w:cs="Times New Roman"/>
        </w:rPr>
        <w:t xml:space="preserve"> - </w:t>
      </w:r>
      <w:r w:rsidR="00A86B66" w:rsidRPr="00A86B66">
        <w:rPr>
          <w:rFonts w:ascii="Times New Roman" w:hAnsi="Times New Roman" w:cs="Times New Roman"/>
        </w:rPr>
        <w:t>Numerous stand-alone services are available in the system, including user management, billing, tracking, dispatching, and notifications. Teams collaborate on various system components using containers (like Docker) and orchestration (like Kubernetes) to develop, deploy, and scale services independently.</w:t>
      </w:r>
    </w:p>
    <w:p w14:paraId="47A78D82" w14:textId="7764135C" w:rsidR="001B18D5" w:rsidRDefault="001B18D5" w:rsidP="001B18D5">
      <w:pPr>
        <w:spacing w:line="480" w:lineRule="auto"/>
        <w:jc w:val="both"/>
        <w:rPr>
          <w:rFonts w:ascii="Times New Roman" w:hAnsi="Times New Roman" w:cs="Times New Roman"/>
          <w:b/>
          <w:bCs/>
        </w:rPr>
      </w:pPr>
      <w:r>
        <w:rPr>
          <w:rFonts w:ascii="Times New Roman" w:hAnsi="Times New Roman" w:cs="Times New Roman"/>
          <w:b/>
          <w:bCs/>
        </w:rPr>
        <w:t>EA Framework:</w:t>
      </w:r>
      <w:r w:rsidR="00A8353F">
        <w:rPr>
          <w:rFonts w:ascii="Times New Roman" w:hAnsi="Times New Roman" w:cs="Times New Roman"/>
          <w:b/>
          <w:bCs/>
        </w:rPr>
        <w:t xml:space="preserve"> </w:t>
      </w:r>
      <w:r w:rsidR="007A76DC" w:rsidRPr="007A76DC">
        <w:rPr>
          <w:rFonts w:ascii="Times New Roman" w:hAnsi="Times New Roman" w:cs="Times New Roman"/>
        </w:rPr>
        <w:t>The City-Wide Courier and Service Management System CWMS, we applied the Federal Enterprise Architecture Framework FEAF. This framework is widely used for government systems and public service projects because it helps align technology, data, applications, and business goals. And the CWMS covers multiple services like document delivery, emergency coordination, tax collection, licensing, citizen feedback, and mobile access FEAF helped us organize these functions into five main reference models. Each model focuses on a specific aspect of the system, making it easier to plan, analyze, and improve.</w:t>
      </w:r>
    </w:p>
    <w:p w14:paraId="2FB65393" w14:textId="095CCA74" w:rsidR="001B18D5" w:rsidRDefault="001B18D5" w:rsidP="001B18D5">
      <w:pPr>
        <w:spacing w:line="480" w:lineRule="auto"/>
        <w:jc w:val="both"/>
        <w:rPr>
          <w:rFonts w:ascii="Times New Roman" w:hAnsi="Times New Roman" w:cs="Times New Roman"/>
          <w:b/>
          <w:bCs/>
        </w:rPr>
      </w:pPr>
      <w:r>
        <w:rPr>
          <w:rFonts w:ascii="Times New Roman" w:hAnsi="Times New Roman" w:cs="Times New Roman"/>
          <w:b/>
          <w:bCs/>
        </w:rPr>
        <w:t>Diagram:</w:t>
      </w:r>
    </w:p>
    <w:p w14:paraId="7FB93CB6" w14:textId="0AB5CFF8" w:rsidR="001B18D5" w:rsidRDefault="001B18D5" w:rsidP="001B18D5">
      <w:pPr>
        <w:spacing w:line="480" w:lineRule="auto"/>
        <w:jc w:val="both"/>
        <w:rPr>
          <w:rFonts w:ascii="Times New Roman" w:hAnsi="Times New Roman" w:cs="Times New Roman"/>
        </w:rPr>
      </w:pPr>
      <w:r>
        <w:rPr>
          <w:rFonts w:ascii="Times New Roman" w:hAnsi="Times New Roman" w:cs="Times New Roman"/>
          <w:b/>
          <w:bCs/>
        </w:rPr>
        <w:t>Integration Strategy:</w:t>
      </w:r>
      <w:r w:rsidR="00EA0B94">
        <w:rPr>
          <w:rFonts w:ascii="Times New Roman" w:hAnsi="Times New Roman" w:cs="Times New Roman"/>
          <w:b/>
          <w:bCs/>
        </w:rPr>
        <w:t xml:space="preserve"> </w:t>
      </w:r>
      <w:r w:rsidR="00EA0B94" w:rsidRPr="00EA0B94">
        <w:rPr>
          <w:rFonts w:ascii="Times New Roman" w:hAnsi="Times New Roman" w:cs="Times New Roman"/>
        </w:rPr>
        <w:t xml:space="preserve">A successful city-wide courier management system depends not only on its individual elements but, more importantly, on their ability to integrate seamlessly. In a bustling city like Quezon City, where traffic, varying service demands, and rapid urban growth are constants, a disjointed system simply cannot meet the needs. A comprehensive integration strategy is essential to ensure operational efficiency, improve customer satisfaction, and support sustainable growth. This strategy entails coordinating a complex network of internal modules, external services, and stakeholder platforms, enabling a smooth flow of </w:t>
      </w:r>
      <w:r w:rsidR="00EA0B94" w:rsidRPr="00EA0B94">
        <w:rPr>
          <w:rFonts w:ascii="Times New Roman" w:hAnsi="Times New Roman" w:cs="Times New Roman"/>
        </w:rPr>
        <w:lastRenderedPageBreak/>
        <w:t>information and resources.</w:t>
      </w:r>
      <w:r w:rsidR="00FA2B5C">
        <w:rPr>
          <w:rFonts w:ascii="Times New Roman" w:hAnsi="Times New Roman" w:cs="Times New Roman"/>
        </w:rPr>
        <w:t xml:space="preserve"> </w:t>
      </w:r>
      <w:r w:rsidR="00FA2B5C" w:rsidRPr="00FA2B5C">
        <w:rPr>
          <w:rFonts w:ascii="Times New Roman" w:hAnsi="Times New Roman" w:cs="Times New Roman"/>
        </w:rPr>
        <w:t>Internal System Integration The foundation of a successful courier management system lies in the comprehensive integration of its essential internal modules. These modules need to interact in both directions and in real-time to accommodate the ever-changing landscape of courier operations.</w:t>
      </w:r>
    </w:p>
    <w:p w14:paraId="71D0EA11" w14:textId="33A87691" w:rsidR="00FA2B5C" w:rsidRDefault="00FA2B5C" w:rsidP="001B18D5">
      <w:pPr>
        <w:spacing w:line="480" w:lineRule="auto"/>
        <w:jc w:val="both"/>
        <w:rPr>
          <w:rFonts w:ascii="Times New Roman" w:hAnsi="Times New Roman" w:cs="Times New Roman"/>
        </w:rPr>
      </w:pPr>
      <w:r>
        <w:rPr>
          <w:rFonts w:ascii="Times New Roman" w:hAnsi="Times New Roman" w:cs="Times New Roman"/>
        </w:rPr>
        <w:t xml:space="preserve">The </w:t>
      </w:r>
      <w:r w:rsidRPr="00FA2B5C">
        <w:rPr>
          <w:rFonts w:ascii="Times New Roman" w:hAnsi="Times New Roman" w:cs="Times New Roman"/>
        </w:rPr>
        <w:t>Order Management System (OMS) as the Core Center: The OMS acts as the primary interface for all delivery requests, regardless of whether they come from a customer through a mobile app, a web portal, or a call center. Importantly, it should connect effortlessly with customer verification and profile management systems to enhance user experiences and access historical information.</w:t>
      </w:r>
    </w:p>
    <w:p w14:paraId="25FEBBD8" w14:textId="33224674" w:rsidR="00FA2B5C" w:rsidRDefault="00FA2B5C" w:rsidP="001B18D5">
      <w:pPr>
        <w:spacing w:line="480" w:lineRule="auto"/>
        <w:jc w:val="both"/>
        <w:rPr>
          <w:rFonts w:ascii="Times New Roman" w:hAnsi="Times New Roman" w:cs="Times New Roman"/>
        </w:rPr>
      </w:pPr>
      <w:r>
        <w:rPr>
          <w:rFonts w:ascii="Times New Roman" w:hAnsi="Times New Roman" w:cs="Times New Roman"/>
        </w:rPr>
        <w:t xml:space="preserve">The </w:t>
      </w:r>
      <w:r w:rsidRPr="00FA2B5C">
        <w:rPr>
          <w:rFonts w:ascii="Times New Roman" w:hAnsi="Times New Roman" w:cs="Times New Roman"/>
        </w:rPr>
        <w:t>Intelligent Dispatch and Route Optimization System is the brain of the operation. Its integration with the OMS is fundamental, pulling new orders as they are confirmed. It uses real-time GPS data, traffic APIs (e.g., Google Maps, Waze), and internal courier databases to assign deliveries efficiently. The system calculates the best routes based on courier availability, vehicle capacity, delivery time windows, and traffic patterns—especially in busy areas like EDSA and Commonwealth Avenue. The optimized routes and assignments are then sent to drivers via their mobile apps.</w:t>
      </w:r>
    </w:p>
    <w:p w14:paraId="209DA750" w14:textId="213A2602" w:rsidR="00FA2B5C" w:rsidRDefault="00FA2B5C" w:rsidP="001B18D5">
      <w:pPr>
        <w:spacing w:line="480" w:lineRule="auto"/>
        <w:jc w:val="both"/>
        <w:rPr>
          <w:rFonts w:ascii="Times New Roman" w:hAnsi="Times New Roman" w:cs="Times New Roman"/>
        </w:rPr>
      </w:pPr>
      <w:r>
        <w:rPr>
          <w:rFonts w:ascii="Times New Roman" w:hAnsi="Times New Roman" w:cs="Times New Roman"/>
        </w:rPr>
        <w:t xml:space="preserve">The </w:t>
      </w:r>
      <w:r w:rsidRPr="00FA2B5C">
        <w:rPr>
          <w:rFonts w:ascii="Times New Roman" w:hAnsi="Times New Roman" w:cs="Times New Roman"/>
        </w:rPr>
        <w:t>Real-time Tracking and Telematics Integration: Ensures full visibility of courier operations by using GPS data from vehicles and mobile apps. This live location data updates the dispatch system, triggers customer notifications, and feeds into analytics for performance monitoring. It gives supervisors a real-time view of the fleet, enabling quick action during delays—crucial for managing Quezon City’s unpredictable traffic.</w:t>
      </w:r>
    </w:p>
    <w:p w14:paraId="3D2529F4" w14:textId="06FD48F5" w:rsidR="00FA2B5C" w:rsidRDefault="00FA2B5C" w:rsidP="001B18D5">
      <w:pPr>
        <w:spacing w:line="480" w:lineRule="auto"/>
        <w:jc w:val="both"/>
        <w:rPr>
          <w:rFonts w:ascii="Times New Roman" w:hAnsi="Times New Roman" w:cs="Times New Roman"/>
        </w:rPr>
      </w:pPr>
      <w:r>
        <w:rPr>
          <w:rFonts w:ascii="Times New Roman" w:hAnsi="Times New Roman" w:cs="Times New Roman"/>
        </w:rPr>
        <w:t xml:space="preserve">The </w:t>
      </w:r>
      <w:r w:rsidRPr="00FA2B5C">
        <w:rPr>
          <w:rFonts w:ascii="Times New Roman" w:hAnsi="Times New Roman" w:cs="Times New Roman"/>
        </w:rPr>
        <w:t xml:space="preserve">Feature-Rich Driver Mobile Application: The driver app is the courier’s main tool, receiving task assignments and navigation routes from the dispatch system. It sends real-time location updates and integrates with the </w:t>
      </w:r>
      <w:proofErr w:type="spellStart"/>
      <w:r w:rsidRPr="00FA2B5C">
        <w:rPr>
          <w:rFonts w:ascii="Times New Roman" w:hAnsi="Times New Roman" w:cs="Times New Roman"/>
        </w:rPr>
        <w:t>ePOD</w:t>
      </w:r>
      <w:proofErr w:type="spellEnd"/>
      <w:r w:rsidRPr="00FA2B5C">
        <w:rPr>
          <w:rFonts w:ascii="Times New Roman" w:hAnsi="Times New Roman" w:cs="Times New Roman"/>
        </w:rPr>
        <w:t xml:space="preserve"> module for digital signatures, delivery photos, or QR scans. It also supports two-way communication with dispatch and customers for quick updates or urgent concerns.</w:t>
      </w:r>
    </w:p>
    <w:p w14:paraId="74689337" w14:textId="50FD70EB" w:rsidR="00FA2B5C" w:rsidRDefault="00FA2B5C" w:rsidP="001B18D5">
      <w:pPr>
        <w:spacing w:line="480" w:lineRule="auto"/>
        <w:jc w:val="both"/>
        <w:rPr>
          <w:rFonts w:ascii="Times New Roman" w:hAnsi="Times New Roman" w:cs="Times New Roman"/>
        </w:rPr>
      </w:pPr>
      <w:r>
        <w:rPr>
          <w:rFonts w:ascii="Times New Roman" w:hAnsi="Times New Roman" w:cs="Times New Roman"/>
        </w:rPr>
        <w:t xml:space="preserve">The </w:t>
      </w:r>
      <w:r w:rsidRPr="00FA2B5C">
        <w:rPr>
          <w:rFonts w:ascii="Times New Roman" w:hAnsi="Times New Roman" w:cs="Times New Roman"/>
        </w:rPr>
        <w:t>Electronic Proof of Delivery (</w:t>
      </w:r>
      <w:proofErr w:type="spellStart"/>
      <w:r w:rsidRPr="00FA2B5C">
        <w:rPr>
          <w:rFonts w:ascii="Times New Roman" w:hAnsi="Times New Roman" w:cs="Times New Roman"/>
        </w:rPr>
        <w:t>ePOD</w:t>
      </w:r>
      <w:proofErr w:type="spellEnd"/>
      <w:r w:rsidRPr="00FA2B5C">
        <w:rPr>
          <w:rFonts w:ascii="Times New Roman" w:hAnsi="Times New Roman" w:cs="Times New Roman"/>
        </w:rPr>
        <w:t>) and Reconciliation: This module captures delivery details—like signatures, photos, timestamps, and location—via the driver app. This data is instantly sent to the OMS, customer service, and billing systems, confirming delivery, resolving inquiries, and speeding up the billing process while reducing disputes.</w:t>
      </w:r>
    </w:p>
    <w:p w14:paraId="60F5992E" w14:textId="77777777" w:rsidR="00FA2B5C" w:rsidRDefault="00FA2B5C" w:rsidP="001B18D5">
      <w:pPr>
        <w:spacing w:line="480" w:lineRule="auto"/>
        <w:jc w:val="both"/>
        <w:rPr>
          <w:rFonts w:ascii="Times New Roman" w:hAnsi="Times New Roman" w:cs="Times New Roman"/>
        </w:rPr>
      </w:pPr>
      <w:r>
        <w:rPr>
          <w:rFonts w:ascii="Times New Roman" w:hAnsi="Times New Roman" w:cs="Times New Roman"/>
        </w:rPr>
        <w:lastRenderedPageBreak/>
        <w:t xml:space="preserve">The </w:t>
      </w:r>
      <w:r w:rsidRPr="00FA2B5C">
        <w:rPr>
          <w:rFonts w:ascii="Times New Roman" w:hAnsi="Times New Roman" w:cs="Times New Roman"/>
        </w:rPr>
        <w:t xml:space="preserve">Proactive Customer Communication and Notification System: Automatically sends timely updates using data from the OMS, dispatch, and tracking systems. It delivers alerts via SMS, email, and in-app notifications for each delivery stage, reducing customer inquiries and enhancing the overall experience. </w:t>
      </w:r>
    </w:p>
    <w:p w14:paraId="6FC54067" w14:textId="77777777" w:rsidR="00FA2B5C" w:rsidRDefault="00FA2B5C" w:rsidP="001B18D5">
      <w:pPr>
        <w:spacing w:line="480" w:lineRule="auto"/>
        <w:jc w:val="both"/>
        <w:rPr>
          <w:rFonts w:ascii="Times New Roman" w:hAnsi="Times New Roman" w:cs="Times New Roman"/>
        </w:rPr>
      </w:pPr>
      <w:r>
        <w:rPr>
          <w:rFonts w:ascii="Times New Roman" w:hAnsi="Times New Roman" w:cs="Times New Roman"/>
        </w:rPr>
        <w:t xml:space="preserve">The </w:t>
      </w:r>
      <w:r w:rsidRPr="00FA2B5C">
        <w:rPr>
          <w:rFonts w:ascii="Times New Roman" w:hAnsi="Times New Roman" w:cs="Times New Roman"/>
        </w:rPr>
        <w:t xml:space="preserve">Comprehensive Analytics and Reporting Engine: It collects data from all system components—orders, deliveries, routes, performance, feedback, and finances. It generates dashboards and reports that help management identify issues, improve efficiency, and make strategic decisions like expansion or pricing adjustments. </w:t>
      </w:r>
    </w:p>
    <w:p w14:paraId="150B94EE" w14:textId="6286FDD8" w:rsidR="00FA2B5C" w:rsidRDefault="00FA2B5C" w:rsidP="001B18D5">
      <w:pPr>
        <w:spacing w:line="480" w:lineRule="auto"/>
        <w:jc w:val="both"/>
        <w:rPr>
          <w:rFonts w:ascii="Times New Roman" w:hAnsi="Times New Roman" w:cs="Times New Roman"/>
        </w:rPr>
      </w:pPr>
      <w:r>
        <w:rPr>
          <w:rFonts w:ascii="Times New Roman" w:hAnsi="Times New Roman" w:cs="Times New Roman"/>
        </w:rPr>
        <w:t>The</w:t>
      </w:r>
      <w:r w:rsidRPr="00FA2B5C">
        <w:rPr>
          <w:rFonts w:ascii="Times New Roman" w:hAnsi="Times New Roman" w:cs="Times New Roman"/>
        </w:rPr>
        <w:t xml:space="preserve"> Automated Billing, Invoicing, and Payment Gateway Integration system: Pulls delivery data from the OMS and </w:t>
      </w:r>
      <w:proofErr w:type="spellStart"/>
      <w:r w:rsidRPr="00FA2B5C">
        <w:rPr>
          <w:rFonts w:ascii="Times New Roman" w:hAnsi="Times New Roman" w:cs="Times New Roman"/>
        </w:rPr>
        <w:t>ePOD</w:t>
      </w:r>
      <w:proofErr w:type="spellEnd"/>
      <w:r w:rsidRPr="00FA2B5C">
        <w:rPr>
          <w:rFonts w:ascii="Times New Roman" w:hAnsi="Times New Roman" w:cs="Times New Roman"/>
        </w:rPr>
        <w:t xml:space="preserve"> to generate accurate invoices, apply discounts, and calculate charges. It connects with local payment gateways like </w:t>
      </w:r>
      <w:proofErr w:type="spellStart"/>
      <w:r w:rsidRPr="00FA2B5C">
        <w:rPr>
          <w:rFonts w:ascii="Times New Roman" w:hAnsi="Times New Roman" w:cs="Times New Roman"/>
        </w:rPr>
        <w:t>GCash</w:t>
      </w:r>
      <w:proofErr w:type="spellEnd"/>
      <w:r w:rsidRPr="00FA2B5C">
        <w:rPr>
          <w:rFonts w:ascii="Times New Roman" w:hAnsi="Times New Roman" w:cs="Times New Roman"/>
        </w:rPr>
        <w:t xml:space="preserve">, </w:t>
      </w:r>
      <w:proofErr w:type="spellStart"/>
      <w:r w:rsidRPr="00FA2B5C">
        <w:rPr>
          <w:rFonts w:ascii="Times New Roman" w:hAnsi="Times New Roman" w:cs="Times New Roman"/>
        </w:rPr>
        <w:t>PayMaya</w:t>
      </w:r>
      <w:proofErr w:type="spellEnd"/>
      <w:r w:rsidRPr="00FA2B5C">
        <w:rPr>
          <w:rFonts w:ascii="Times New Roman" w:hAnsi="Times New Roman" w:cs="Times New Roman"/>
        </w:rPr>
        <w:t>, and banks for secure, convenient transactions—reducing manual work and improving cash flow.</w:t>
      </w:r>
    </w:p>
    <w:p w14:paraId="1A8E1149" w14:textId="5D6F38A3" w:rsidR="001B18D5" w:rsidRDefault="001B18D5" w:rsidP="001B18D5">
      <w:pPr>
        <w:spacing w:line="480" w:lineRule="auto"/>
        <w:jc w:val="both"/>
        <w:rPr>
          <w:rFonts w:ascii="Times New Roman" w:hAnsi="Times New Roman" w:cs="Times New Roman"/>
          <w:b/>
          <w:bCs/>
        </w:rPr>
      </w:pPr>
      <w:r>
        <w:rPr>
          <w:rFonts w:ascii="Times New Roman" w:hAnsi="Times New Roman" w:cs="Times New Roman"/>
          <w:b/>
          <w:bCs/>
        </w:rPr>
        <w:t>Contribution of Each member:</w:t>
      </w:r>
    </w:p>
    <w:tbl>
      <w:tblPr>
        <w:tblStyle w:val="TableGrid"/>
        <w:tblW w:w="0" w:type="auto"/>
        <w:tblLook w:val="04A0" w:firstRow="1" w:lastRow="0" w:firstColumn="1" w:lastColumn="0" w:noHBand="0" w:noVBand="1"/>
      </w:tblPr>
      <w:tblGrid>
        <w:gridCol w:w="5228"/>
        <w:gridCol w:w="5228"/>
      </w:tblGrid>
      <w:tr w:rsidR="001B18D5" w14:paraId="43CCC79A" w14:textId="77777777" w:rsidTr="001B18D5">
        <w:trPr>
          <w:trHeight w:val="248"/>
        </w:trPr>
        <w:tc>
          <w:tcPr>
            <w:tcW w:w="10456" w:type="dxa"/>
            <w:gridSpan w:val="2"/>
            <w:vAlign w:val="center"/>
          </w:tcPr>
          <w:p w14:paraId="4239F084" w14:textId="2166FC75" w:rsidR="001B18D5" w:rsidRPr="001B18D5" w:rsidRDefault="001B18D5" w:rsidP="001B18D5">
            <w:pPr>
              <w:rPr>
                <w:rFonts w:ascii="Times New Roman" w:hAnsi="Times New Roman" w:cs="Times New Roman"/>
                <w:b/>
                <w:bCs/>
              </w:rPr>
            </w:pPr>
            <w:r w:rsidRPr="001B18D5">
              <w:rPr>
                <w:rFonts w:ascii="Times New Roman" w:hAnsi="Times New Roman" w:cs="Times New Roman"/>
                <w:b/>
                <w:bCs/>
              </w:rPr>
              <w:t>Rubrics</w:t>
            </w:r>
          </w:p>
        </w:tc>
      </w:tr>
      <w:tr w:rsidR="001B18D5" w14:paraId="481E4971" w14:textId="77777777" w:rsidTr="001B18D5">
        <w:tc>
          <w:tcPr>
            <w:tcW w:w="5228" w:type="dxa"/>
            <w:vAlign w:val="center"/>
          </w:tcPr>
          <w:p w14:paraId="49BF465D" w14:textId="793547E3" w:rsidR="001B18D5" w:rsidRPr="001B18D5" w:rsidRDefault="001B18D5" w:rsidP="001B18D5">
            <w:pPr>
              <w:rPr>
                <w:rFonts w:ascii="Times New Roman" w:hAnsi="Times New Roman" w:cs="Times New Roman"/>
              </w:rPr>
            </w:pPr>
            <w:r w:rsidRPr="001B18D5">
              <w:rPr>
                <w:rFonts w:ascii="Times New Roman" w:hAnsi="Times New Roman" w:cs="Times New Roman"/>
              </w:rPr>
              <w:t>Clarity of Architecture Design – 30%</w:t>
            </w:r>
          </w:p>
        </w:tc>
        <w:tc>
          <w:tcPr>
            <w:tcW w:w="5228" w:type="dxa"/>
            <w:vAlign w:val="center"/>
          </w:tcPr>
          <w:p w14:paraId="49FB48A2" w14:textId="77777777" w:rsidR="001B18D5" w:rsidRPr="001B18D5" w:rsidRDefault="001B18D5" w:rsidP="001B18D5">
            <w:pPr>
              <w:rPr>
                <w:rFonts w:ascii="Times New Roman" w:hAnsi="Times New Roman" w:cs="Times New Roman"/>
              </w:rPr>
            </w:pPr>
          </w:p>
        </w:tc>
      </w:tr>
      <w:tr w:rsidR="001B18D5" w14:paraId="5ADA50FD" w14:textId="77777777" w:rsidTr="001B18D5">
        <w:tc>
          <w:tcPr>
            <w:tcW w:w="5228" w:type="dxa"/>
            <w:vAlign w:val="center"/>
          </w:tcPr>
          <w:p w14:paraId="22123C02" w14:textId="5C00846E" w:rsidR="001B18D5" w:rsidRPr="001B18D5" w:rsidRDefault="001B18D5" w:rsidP="001B18D5">
            <w:pPr>
              <w:rPr>
                <w:rFonts w:ascii="Times New Roman" w:hAnsi="Times New Roman" w:cs="Times New Roman"/>
              </w:rPr>
            </w:pPr>
            <w:r w:rsidRPr="001B18D5">
              <w:rPr>
                <w:rFonts w:ascii="Times New Roman" w:hAnsi="Times New Roman" w:cs="Times New Roman"/>
              </w:rPr>
              <w:t>Correction Application of EA Framework – 30%</w:t>
            </w:r>
          </w:p>
        </w:tc>
        <w:tc>
          <w:tcPr>
            <w:tcW w:w="5228" w:type="dxa"/>
            <w:vAlign w:val="center"/>
          </w:tcPr>
          <w:p w14:paraId="3094E322" w14:textId="77777777" w:rsidR="001B18D5" w:rsidRPr="001B18D5" w:rsidRDefault="001B18D5" w:rsidP="001B18D5">
            <w:pPr>
              <w:rPr>
                <w:rFonts w:ascii="Times New Roman" w:hAnsi="Times New Roman" w:cs="Times New Roman"/>
              </w:rPr>
            </w:pPr>
          </w:p>
        </w:tc>
      </w:tr>
      <w:tr w:rsidR="001B18D5" w14:paraId="14B96011" w14:textId="77777777" w:rsidTr="001B18D5">
        <w:tc>
          <w:tcPr>
            <w:tcW w:w="5228" w:type="dxa"/>
            <w:vAlign w:val="center"/>
          </w:tcPr>
          <w:p w14:paraId="0461D840" w14:textId="4A698C77" w:rsidR="001B18D5" w:rsidRPr="001B18D5" w:rsidRDefault="001B18D5" w:rsidP="001B18D5">
            <w:pPr>
              <w:rPr>
                <w:rFonts w:ascii="Times New Roman" w:hAnsi="Times New Roman" w:cs="Times New Roman"/>
              </w:rPr>
            </w:pPr>
            <w:r w:rsidRPr="001B18D5">
              <w:rPr>
                <w:rFonts w:ascii="Times New Roman" w:hAnsi="Times New Roman" w:cs="Times New Roman"/>
              </w:rPr>
              <w:t>Creativity and Visual – 20%</w:t>
            </w:r>
          </w:p>
        </w:tc>
        <w:tc>
          <w:tcPr>
            <w:tcW w:w="5228" w:type="dxa"/>
            <w:vAlign w:val="center"/>
          </w:tcPr>
          <w:p w14:paraId="38B1B6AA" w14:textId="77777777" w:rsidR="001B18D5" w:rsidRPr="001B18D5" w:rsidRDefault="001B18D5" w:rsidP="001B18D5">
            <w:pPr>
              <w:rPr>
                <w:rFonts w:ascii="Times New Roman" w:hAnsi="Times New Roman" w:cs="Times New Roman"/>
              </w:rPr>
            </w:pPr>
          </w:p>
        </w:tc>
      </w:tr>
      <w:tr w:rsidR="001B18D5" w14:paraId="67E5AC24" w14:textId="77777777" w:rsidTr="001B18D5">
        <w:tc>
          <w:tcPr>
            <w:tcW w:w="5228" w:type="dxa"/>
            <w:vAlign w:val="center"/>
          </w:tcPr>
          <w:p w14:paraId="26A72A85" w14:textId="5AE65967" w:rsidR="001B18D5" w:rsidRPr="001B18D5" w:rsidRDefault="001B18D5" w:rsidP="001B18D5">
            <w:pPr>
              <w:rPr>
                <w:rFonts w:ascii="Times New Roman" w:hAnsi="Times New Roman" w:cs="Times New Roman"/>
              </w:rPr>
            </w:pPr>
            <w:r w:rsidRPr="001B18D5">
              <w:rPr>
                <w:rFonts w:ascii="Times New Roman" w:hAnsi="Times New Roman" w:cs="Times New Roman"/>
              </w:rPr>
              <w:t>Team Participation and Delivery – 20%</w:t>
            </w:r>
          </w:p>
        </w:tc>
        <w:tc>
          <w:tcPr>
            <w:tcW w:w="5228" w:type="dxa"/>
            <w:vAlign w:val="center"/>
          </w:tcPr>
          <w:p w14:paraId="7616E896" w14:textId="77777777" w:rsidR="001B18D5" w:rsidRPr="001B18D5" w:rsidRDefault="001B18D5" w:rsidP="001B18D5">
            <w:pPr>
              <w:rPr>
                <w:rFonts w:ascii="Times New Roman" w:hAnsi="Times New Roman" w:cs="Times New Roman"/>
              </w:rPr>
            </w:pPr>
          </w:p>
        </w:tc>
      </w:tr>
    </w:tbl>
    <w:p w14:paraId="36E6D3C4" w14:textId="77777777" w:rsidR="001B18D5" w:rsidRPr="001B18D5" w:rsidRDefault="001B18D5" w:rsidP="001B18D5">
      <w:pPr>
        <w:spacing w:line="480" w:lineRule="auto"/>
        <w:jc w:val="both"/>
        <w:rPr>
          <w:rFonts w:ascii="Times New Roman" w:hAnsi="Times New Roman" w:cs="Times New Roman"/>
          <w:b/>
          <w:bCs/>
        </w:rPr>
      </w:pPr>
    </w:p>
    <w:sectPr w:rsidR="001B18D5" w:rsidRPr="001B18D5" w:rsidSect="001B18D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8D5"/>
    <w:rsid w:val="00102EA3"/>
    <w:rsid w:val="001B18D5"/>
    <w:rsid w:val="001E41DE"/>
    <w:rsid w:val="00236056"/>
    <w:rsid w:val="0044468F"/>
    <w:rsid w:val="005169D7"/>
    <w:rsid w:val="00606459"/>
    <w:rsid w:val="00714466"/>
    <w:rsid w:val="007A76DC"/>
    <w:rsid w:val="00890C0C"/>
    <w:rsid w:val="009631E0"/>
    <w:rsid w:val="009A2927"/>
    <w:rsid w:val="009C7BA1"/>
    <w:rsid w:val="00A8353F"/>
    <w:rsid w:val="00A86B66"/>
    <w:rsid w:val="00CF7FB8"/>
    <w:rsid w:val="00EA0B94"/>
    <w:rsid w:val="00F10C66"/>
    <w:rsid w:val="00FA2B5C"/>
    <w:rsid w:val="00FB3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7343"/>
  <w15:chartTrackingRefBased/>
  <w15:docId w15:val="{2627AC69-43B9-481B-A662-D8AB92CD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8D5"/>
    <w:rPr>
      <w:rFonts w:eastAsiaTheme="majorEastAsia" w:cstheme="majorBidi"/>
      <w:color w:val="272727" w:themeColor="text1" w:themeTint="D8"/>
    </w:rPr>
  </w:style>
  <w:style w:type="paragraph" w:styleId="Title">
    <w:name w:val="Title"/>
    <w:basedOn w:val="Normal"/>
    <w:next w:val="Normal"/>
    <w:link w:val="TitleChar"/>
    <w:uiPriority w:val="10"/>
    <w:qFormat/>
    <w:rsid w:val="001B1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8D5"/>
    <w:pPr>
      <w:spacing w:before="160"/>
      <w:jc w:val="center"/>
    </w:pPr>
    <w:rPr>
      <w:i/>
      <w:iCs/>
      <w:color w:val="404040" w:themeColor="text1" w:themeTint="BF"/>
    </w:rPr>
  </w:style>
  <w:style w:type="character" w:customStyle="1" w:styleId="QuoteChar">
    <w:name w:val="Quote Char"/>
    <w:basedOn w:val="DefaultParagraphFont"/>
    <w:link w:val="Quote"/>
    <w:uiPriority w:val="29"/>
    <w:rsid w:val="001B18D5"/>
    <w:rPr>
      <w:i/>
      <w:iCs/>
      <w:color w:val="404040" w:themeColor="text1" w:themeTint="BF"/>
    </w:rPr>
  </w:style>
  <w:style w:type="paragraph" w:styleId="ListParagraph">
    <w:name w:val="List Paragraph"/>
    <w:basedOn w:val="Normal"/>
    <w:uiPriority w:val="34"/>
    <w:qFormat/>
    <w:rsid w:val="001B18D5"/>
    <w:pPr>
      <w:ind w:left="720"/>
      <w:contextualSpacing/>
    </w:pPr>
  </w:style>
  <w:style w:type="character" w:styleId="IntenseEmphasis">
    <w:name w:val="Intense Emphasis"/>
    <w:basedOn w:val="DefaultParagraphFont"/>
    <w:uiPriority w:val="21"/>
    <w:qFormat/>
    <w:rsid w:val="001B18D5"/>
    <w:rPr>
      <w:i/>
      <w:iCs/>
      <w:color w:val="2F5496" w:themeColor="accent1" w:themeShade="BF"/>
    </w:rPr>
  </w:style>
  <w:style w:type="paragraph" w:styleId="IntenseQuote">
    <w:name w:val="Intense Quote"/>
    <w:basedOn w:val="Normal"/>
    <w:next w:val="Normal"/>
    <w:link w:val="IntenseQuoteChar"/>
    <w:uiPriority w:val="30"/>
    <w:qFormat/>
    <w:rsid w:val="001B1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8D5"/>
    <w:rPr>
      <w:i/>
      <w:iCs/>
      <w:color w:val="2F5496" w:themeColor="accent1" w:themeShade="BF"/>
    </w:rPr>
  </w:style>
  <w:style w:type="character" w:styleId="IntenseReference">
    <w:name w:val="Intense Reference"/>
    <w:basedOn w:val="DefaultParagraphFont"/>
    <w:uiPriority w:val="32"/>
    <w:qFormat/>
    <w:rsid w:val="001B18D5"/>
    <w:rPr>
      <w:b/>
      <w:bCs/>
      <w:smallCaps/>
      <w:color w:val="2F5496" w:themeColor="accent1" w:themeShade="BF"/>
      <w:spacing w:val="5"/>
    </w:rPr>
  </w:style>
  <w:style w:type="table" w:styleId="TableGrid">
    <w:name w:val="Table Grid"/>
    <w:basedOn w:val="TableNormal"/>
    <w:uiPriority w:val="39"/>
    <w:rsid w:val="001B1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3</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Aneslagon</dc:creator>
  <cp:keywords/>
  <dc:description/>
  <cp:lastModifiedBy>Jessie Aneslagon</cp:lastModifiedBy>
  <cp:revision>9</cp:revision>
  <dcterms:created xsi:type="dcterms:W3CDTF">2025-07-10T09:44:00Z</dcterms:created>
  <dcterms:modified xsi:type="dcterms:W3CDTF">2025-07-10T15:36:00Z</dcterms:modified>
</cp:coreProperties>
</file>