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b/>
          <w:bCs/>
        </w:rPr>
        <w:t xml:space="preserve">EXCELENTÍSSIMO SENHOR DOUTOR JUIZ DE DIREITO DA VARA ÚNICA DA COMARCA DE MIGUEL ALVES-PI.</w:t>
      </w:r>
    </w:p>
    <w:p>
      <w:pPr>
        <w:spacing w:after="0"/>
      </w:pPr>
    </w:p>
    <w:p>
      <w:pPr>
        <w:spacing w:after="0"/>
      </w:pPr>
    </w:p>
    <w:p>
      <w:pPr>
        <w:spacing w:after="60" w:line="360"/>
        <w:ind w:firstLine="0"/>
        <w:jc w:val="both"/>
      </w:pPr>
      <w:r>
        <w:rPr>
          <w:b/>
          <w:bCs/>
        </w:rPr>
        <w:t xml:space="preserve">PEDRO ACELINO E MOURA</w:t>
      </w:r>
      <w:r>
        <w:t xml:space="preserve">, brasileiro, comerciante, solteiro, portador do CPF nº 009.222.913-14, nascido em 15/04/1984, filho de Maria da Natividade Moura e de Pedro Acelino da Silva, residente e domiciliado na Rua Rio Grande do Sul, nº 3389, bairro São Miguel, Miguel Alves-PI, CEP: 64.130-000, e </w:t>
      </w:r>
      <w:r>
        <w:rPr>
          <w:b/>
          <w:bCs/>
        </w:rPr>
        <w:t xml:space="preserve">PEDRO ACELINO E MOURA ME</w:t>
      </w:r>
      <w:r>
        <w:t xml:space="preserve">, nome fantasia </w:t>
      </w:r>
      <w:r>
        <w:rPr>
          <w:b/>
          <w:bCs/>
        </w:rPr>
        <w:t xml:space="preserve">DEPÓSITO BETS BAR</w:t>
      </w:r>
      <w:r>
        <w:t xml:space="preserve">, inscrita no CNPJ sob o nº 42.828.031/0001-85, com sede na Rua Rio Grande do Sul, nº 3389, bairro São Miguel, Miguel Alves-PI, CEP: 64.130-000, neste ato representada por seu titular, PEDRO ACELINO E MOURA, acima qualificado, por meio de seu advogado, ANTÔNIO DE PÁDUA SANTOS NETO, inscrito nos quadros da OAB-PI sob o nº 21.320, constituído mediante procuração em anexo, com endereço físico na Rua Rio Grande do Sul, nº 1641, bairro São Miguel, Miguel Alves-PI, CEP: 64.130-000, e eletrônico: paduanetojus@gmail.com, vêm, à presença de Vossa Excelência, propor a presente</w:t>
      </w:r>
    </w:p>
    <w:p>
      <w:pPr>
        <w:spacing w:after="0"/>
      </w:pPr>
    </w:p>
    <w:p>
      <w:pPr>
        <w:spacing w:after="0" w:line="360"/>
        <w:jc w:val="center"/>
      </w:pPr>
      <w:r>
        <w:rPr>
          <w:b/>
          <w:bCs/>
        </w:rPr>
        <w:t xml:space="preserve">AÇÃO DE COBRANÇA C/C OBRIGAÇÃO DE FAZER E INDENIZAÇÃO POR DANOS MORAIS, COM PEDIDO DE TUTELA DE URGÊNCIA</w:t>
      </w:r>
    </w:p>
    <w:p>
      <w:pPr>
        <w:spacing w:after="0"/>
      </w:pPr>
    </w:p>
    <w:p>
      <w:pPr>
        <w:spacing w:after="60" w:line="360"/>
        <w:ind w:firstLine="0"/>
        <w:jc w:val="both"/>
      </w:pPr>
      <w:r>
        <w:t xml:space="preserve">em face de </w:t>
      </w:r>
      <w:r>
        <w:rPr>
          <w:b/>
          <w:bCs/>
        </w:rPr>
        <w:t xml:space="preserve">PAGSEGURO INTERNET INSTITUIÇÃO DE PAGAMENTO S.A. (PAGBANK)</w:t>
      </w:r>
      <w:r>
        <w:t xml:space="preserve">, pessoa jurídica de direito privado inscrita no CNPJ sob o nº 08.561.701/0001-01, com sede na Avenida Brigadeiro Faria Lima, nº 1.384, 4º andar, Jardim Paulistano, São Paulo-SP, CEP: 01.451-001, pelos fundamentos fáticos e jurídicos a seguir aduzidos.</w:t>
      </w:r>
    </w:p>
    <w:p>
      <w:pPr>
        <w:shd w:fill="123BB8" w:color="auto" w:val="clear"/>
        <w:tabs>
          <w:tab w:val="left" w:pos="1000"/>
        </w:tabs>
        <w:spacing w:after="240" w:before="360" w:line="360"/>
        <w:ind w:left="0"/>
      </w:pPr>
      <w:r>
        <w:rPr>
          <w:b/>
          <w:bCs/>
          <w:i/>
          <w:iCs/>
          <w:color w:val="FFFFFF"/>
        </w:rPr>
        <w:t xml:space="preserve">	Preliminarmente.</w:t>
      </w:r>
    </w:p>
    <w:p>
      <w:pPr>
        <w:keepNext/>
        <w:tabs>
          <w:tab w:val="left" w:pos="700"/>
        </w:tabs>
        <w:spacing w:after="160" w:before="240" w:line="360"/>
        <w:ind w:left="700" w:hanging="400"/>
      </w:pPr>
      <w:r>
        <w:rPr>
          <w:b/>
          <w:bCs/>
          <w:i/>
          <w:iCs/>
        </w:rPr>
        <w:t xml:space="preserve">a.	</w:t>
      </w:r>
      <w:r>
        <w:rPr>
          <w:b/>
          <w:bCs/>
          <w:i/>
          <w:iCs/>
        </w:rPr>
        <w:t xml:space="preserve">Do rito e da legitimidade ativa da microempresa:</w:t>
      </w:r>
    </w:p>
    <w:p>
      <w:pPr>
        <w:spacing w:after="60" w:line="360"/>
        <w:ind w:firstLine="850"/>
        <w:jc w:val="both"/>
      </w:pPr>
      <w:r>
        <w:t xml:space="preserve">Os autores optam pelo procedimento da Lei nº 9.099/1995. A causa é de menor complexidade e seu valor não excede quarenta salários mínimos (art. 3º, I). A segunda autora, empresária individual enquadrada como microempresa, tem legitimidade para propor ação perante o Juizado Especial Cível, nos termos do </w:t>
      </w:r>
      <w:r>
        <w:rPr>
          <w:b/>
          <w:bCs/>
          <w:u w:val="single"/>
          <w:shd w:fill="CFE2F3" w:color="auto" w:val="clear"/>
        </w:rPr>
        <w:t xml:space="preserve">art. 8º, § 1º, II, da Lei nº 9.099/1995</w:t>
      </w:r>
      <w:r>
        <w:t xml:space="preserve"> e do art. 74 da Lei Complementar nº 123/2006.</w:t>
      </w:r>
    </w:p>
    <w:p>
      <w:pPr>
        <w:spacing w:after="60" w:line="360"/>
        <w:ind w:firstLine="850"/>
        <w:jc w:val="both"/>
      </w:pPr>
      <w:r>
        <w:t xml:space="preserve">O litisconsórcio ativo justifica-se porque ambas as contas, a de pessoa física e a de pessoa jurídica, foram encerradas pela ré no mesmo ato, na mesma data e pelo mesmo fundamento genérico, havendo comunhão de direitos e identidade de causa de pedir (art. 113, I e III, do CPC).</w:t>
      </w:r>
    </w:p>
    <w:p>
      <w:pPr>
        <w:keepNext/>
        <w:tabs>
          <w:tab w:val="left" w:pos="700"/>
        </w:tabs>
        <w:spacing w:after="160" w:before="240" w:line="360"/>
        <w:ind w:left="700" w:hanging="400"/>
      </w:pPr>
      <w:r>
        <w:rPr>
          <w:b/>
          <w:bCs/>
          <w:i/>
          <w:iCs/>
        </w:rPr>
        <w:t xml:space="preserve">b.	</w:t>
      </w:r>
      <w:r>
        <w:rPr>
          <w:b/>
          <w:bCs/>
          <w:i/>
          <w:iCs/>
        </w:rPr>
        <w:t xml:space="preserve">Da audiência de conciliação:</w:t>
      </w:r>
    </w:p>
    <w:p>
      <w:pPr>
        <w:spacing w:after="60" w:line="360"/>
        <w:ind w:firstLine="850"/>
        <w:jc w:val="both"/>
      </w:pPr>
      <w:r>
        <w:t xml:space="preserve">Os autores manifestam interesse na audiência de conciliação (arts. 21 e 22 da Lei nº 9.099/1995) e requerem, desde já, sua realização por videoconferência (art. 22, § 2º), considerando que a ré tem sede em outro Estado.</w:t>
      </w:r>
    </w:p>
    <w:p>
      <w:pPr>
        <w:shd w:fill="123BB8" w:color="auto" w:val="clear"/>
        <w:tabs>
          <w:tab w:val="left" w:pos="1000"/>
        </w:tabs>
        <w:spacing w:after="240" w:before="360" w:line="360"/>
        <w:ind w:left="0"/>
      </w:pPr>
      <w:r>
        <w:rPr>
          <w:b/>
          <w:bCs/>
          <w:i/>
          <w:iCs/>
          <w:color w:val="FFFFFF"/>
        </w:rPr>
        <w:t xml:space="preserve">	Dos fatos.</w:t>
      </w:r>
    </w:p>
    <w:p>
      <w:pPr>
        <w:spacing w:after="60" w:line="360"/>
        <w:ind w:firstLine="850"/>
        <w:jc w:val="both"/>
      </w:pPr>
      <w:r>
        <w:t xml:space="preserve">Os autores mantinham, desde 2023, relação contratual com a ré (PagBank), por meio de duas contas: uma de pessoa física, em nome de Pedro Acelino e Moura, e outra de pessoa jurídica, em nome de Pedro Acelino e Moura ME (Depósito Bets Bar), utilizada para movimentar as receitas do estabelecimento comercial.</w:t>
      </w:r>
    </w:p>
    <w:p>
      <w:pPr>
        <w:spacing w:after="60" w:line="360"/>
        <w:ind w:firstLine="850"/>
        <w:jc w:val="both"/>
      </w:pPr>
      <w:r>
        <w:t xml:space="preserve">As contas eram utilizadas de forma regular e contínua, sem atraso, inadimplência, violação contratual ou prática ilícita. Ainda assim, em </w:t>
      </w:r>
      <w:r>
        <w:rPr>
          <w:b/>
          <w:bCs/>
          <w:u w:val="single"/>
          <w:shd w:fill="CFE2F3" w:color="auto" w:val="clear"/>
        </w:rPr>
        <w:t xml:space="preserve">04/11/2024, a ré encerrou unilateralmente ambas as contas</w:t>
      </w:r>
      <w:r>
        <w:t xml:space="preserve">, sem comunicação prévia e sem justificativa adequada, impedindo o acesso aos saldos existentes e </w:t>
      </w:r>
      <w:r>
        <w:rPr>
          <w:b/>
          <w:bCs/>
          <w:u w:val="single"/>
          <w:shd w:fill="CFE2F3" w:color="auto" w:val="clear"/>
        </w:rPr>
        <w:t xml:space="preserve">deixando de oferecer qualquer meio para a devolução dos valores</w:t>
      </w:r>
      <w:r>
        <w:t xml:space="preserve">. Desde então, os autores não têm acesso aos aplicativos, aos extratos nem aos recursos que lhes pertencem.</w:t>
      </w:r>
    </w:p>
    <w:p>
      <w:pPr>
        <w:spacing w:after="60" w:line="360"/>
        <w:ind w:firstLine="850"/>
        <w:jc w:val="both"/>
      </w:pPr>
      <w:r>
        <w:t xml:space="preserve">Os autores </w:t>
      </w:r>
      <w:r>
        <w:rPr>
          <w:b/>
          <w:bCs/>
          <w:u w:val="single"/>
          <w:shd w:fill="CFE2F3" w:color="auto" w:val="clear"/>
        </w:rPr>
        <w:t xml:space="preserve">não possuem nenhuma dívida, débito ou obrigação pendente perante a ré</w:t>
      </w:r>
      <w:r>
        <w:t xml:space="preserve"> que justificasse o encerramento ou a retenção. Na tentativa de resolver a questão administrativamente, o autor contatou o atendimento telefônico da ré, sendo informado pelos atendentes de que deveria “aguardar o recebimento de um e-mail”, sem que a instituição estabelecesse prazo ou oferecesse solução concreta.</w:t>
      </w:r>
    </w:p>
    <w:p>
      <w:pPr>
        <w:spacing w:after="60" w:line="360"/>
        <w:ind w:firstLine="850"/>
        <w:jc w:val="both"/>
      </w:pPr>
      <w:r>
        <w:t xml:space="preserve">Diante da demora, o autor formalizou reclamação perante o </w:t>
      </w:r>
      <w:r>
        <w:rPr>
          <w:b/>
          <w:bCs/>
          <w:u w:val="single"/>
          <w:shd w:fill="CFE2F3" w:color="auto" w:val="clear"/>
        </w:rPr>
        <w:t xml:space="preserve">PROCON itinerante de Miguel Alves-PI (protocolo nº 2503002600200036301)</w:t>
      </w:r>
      <w:r>
        <w:t xml:space="preserve">. Na resposta, datada de 20/03/2025, a ré não solucionou a controvérsia e manteve-se genérica quanto aos fundamentos da retenção. Na oportunidade, a ré:</w:t>
      </w:r>
    </w:p>
    <w:p>
      <w:pPr>
        <w:tabs>
          <w:tab w:val="left" w:pos="1000"/>
        </w:tabs>
        <w:spacing w:after="60" w:line="360"/>
        <w:ind w:left="1000" w:hanging="400"/>
        <w:jc w:val="both"/>
      </w:pPr>
      <w:r>
        <w:t xml:space="preserve">a)	</w:t>
      </w:r>
      <w:r>
        <w:t xml:space="preserve">limitou-se a mencionar, de forma vaga, a adoção de “medidas de segurança” e a existência de “indício de ilicitude”, sem indicar a conduta concreta que teria motivado o bloqueio;</w:t>
      </w:r>
    </w:p>
    <w:p>
      <w:pPr>
        <w:tabs>
          <w:tab w:val="left" w:pos="1000"/>
        </w:tabs>
        <w:spacing w:after="60" w:line="360"/>
        <w:ind w:left="1000" w:hanging="400"/>
        <w:jc w:val="both"/>
      </w:pPr>
      <w:r>
        <w:t xml:space="preserve">b)	</w:t>
      </w:r>
      <w:r>
        <w:t xml:space="preserve">reconheceu expressamente que </w:t>
      </w:r>
      <w:r>
        <w:rPr>
          <w:b/>
          <w:bCs/>
          <w:u w:val="single"/>
          <w:shd w:fill="CFE2F3" w:color="auto" w:val="clear"/>
        </w:rPr>
        <w:t xml:space="preserve">“até o presente momento não é possível desbloquear os valores”</w:t>
      </w:r>
      <w:r>
        <w:t xml:space="preserve">, sem apresentar solução para a liberação do numerário;</w:t>
      </w:r>
    </w:p>
    <w:p>
      <w:pPr>
        <w:tabs>
          <w:tab w:val="left" w:pos="1000"/>
        </w:tabs>
        <w:spacing w:after="60" w:line="360"/>
        <w:ind w:left="1000" w:hanging="400"/>
        <w:jc w:val="both"/>
      </w:pPr>
      <w:r>
        <w:t xml:space="preserve">c)	</w:t>
      </w:r>
      <w:r>
        <w:t xml:space="preserve">indicou apenas o canal “SOS BLOQUEIO” como meio de atendimento, sem providência concreta capaz de solucionar a retenção; e</w:t>
      </w:r>
    </w:p>
    <w:p>
      <w:pPr>
        <w:tabs>
          <w:tab w:val="left" w:pos="1000"/>
        </w:tabs>
        <w:spacing w:after="60" w:line="360"/>
        <w:ind w:left="1000" w:hanging="400"/>
        <w:jc w:val="both"/>
      </w:pPr>
      <w:r>
        <w:t xml:space="preserve">d)	</w:t>
      </w:r>
      <w:r>
        <w:t xml:space="preserve">amparou a manutenção do bloqueio em disposições contratuais genéricas (cláusulas 5.10, 5.15.3 e 14.4), sem individualizar a conduta atribuída aos autores, a razão específica da restrição ou qualquer prazo para regularização.</w:t>
      </w:r>
    </w:p>
    <w:p>
      <w:pPr>
        <w:spacing w:after="60" w:line="360"/>
        <w:ind w:firstLine="850"/>
        <w:jc w:val="both"/>
      </w:pPr>
      <w:r>
        <w:t xml:space="preserve">Passados quase dois anos do encerramento, os autores continuam sem acesso às contas, sem os saldos e sem informação sobre o valor retido. Por estarem bloqueados os extratos, não conseguem apurar com exatidão o montante existente na data do encerramento, estimando que a soma dos saldos gire em torno de </w:t>
      </w:r>
      <w:r>
        <w:rPr>
          <w:b/>
          <w:bCs/>
          <w:u w:val="single"/>
          <w:shd w:fill="CFE2F3" w:color="auto" w:val="clear"/>
        </w:rPr>
        <w:t xml:space="preserve">R$ 3.500,00 (três mil e quinhentos reais)</w:t>
      </w:r>
      <w:r>
        <w:t xml:space="preserve">. Os registros que permitem apurar o valor exato estão exclusivamente em poder da ré.</w:t>
      </w:r>
    </w:p>
    <w:p>
      <w:pPr>
        <w:spacing w:after="60" w:line="360"/>
        <w:ind w:firstLine="850"/>
        <w:jc w:val="both"/>
      </w:pPr>
      <w:r>
        <w:t xml:space="preserve">Esgotada sem êxito a via administrativa, não resta alternativa senão o ajuizamento da presente ação.</w:t>
      </w:r>
    </w:p>
    <w:p>
      <w:pPr>
        <w:shd w:fill="123BB8" w:color="auto" w:val="clear"/>
        <w:tabs>
          <w:tab w:val="left" w:pos="1000"/>
        </w:tabs>
        <w:spacing w:after="240" w:before="360" w:line="360"/>
        <w:ind w:left="0"/>
      </w:pPr>
      <w:r>
        <w:rPr>
          <w:b/>
          <w:bCs/>
          <w:i/>
          <w:iCs/>
          <w:color w:val="FFFFFF"/>
        </w:rPr>
        <w:t xml:space="preserve">	Do direito.</w:t>
      </w:r>
    </w:p>
    <w:p>
      <w:pPr>
        <w:keepNext/>
        <w:tabs>
          <w:tab w:val="left" w:pos="700"/>
        </w:tabs>
        <w:spacing w:after="160" w:before="240" w:line="360"/>
        <w:ind w:left="700" w:hanging="400"/>
      </w:pPr>
      <w:r>
        <w:rPr>
          <w:b/>
          <w:bCs/>
          <w:i/>
          <w:iCs/>
        </w:rPr>
        <w:t xml:space="preserve">a.	</w:t>
      </w:r>
      <w:r>
        <w:rPr>
          <w:b/>
          <w:bCs/>
          <w:i/>
          <w:iCs/>
        </w:rPr>
        <w:t xml:space="preserve">Da relação de consumo e da inversão do ônus da prova:</w:t>
      </w:r>
    </w:p>
    <w:p>
      <w:pPr>
        <w:spacing w:after="60" w:line="360"/>
        <w:ind w:firstLine="850"/>
        <w:jc w:val="both"/>
      </w:pPr>
      <w:r>
        <w:t xml:space="preserve">A ré é instituição de pagamento autorizada pelo Banco Central do Brasil que oferece serviços financeiros no mercado de consumo, enquadrando-se no conceito de fornecedora (art. 3º, § 2º, do CDC). Nos termos da </w:t>
      </w:r>
      <w:r>
        <w:rPr>
          <w:b/>
          <w:bCs/>
          <w:u w:val="single"/>
          <w:shd w:fill="CFE2F3" w:color="auto" w:val="clear"/>
        </w:rPr>
        <w:t xml:space="preserve">Súmula 297 do STJ</w:t>
      </w:r>
      <w:r>
        <w:t xml:space="preserve">, “o Código de Defesa do Consumidor é aplicável às instituições financeiras”.</w:t>
      </w:r>
    </w:p>
    <w:p>
      <w:pPr>
        <w:spacing w:after="60" w:line="360"/>
        <w:ind w:firstLine="850"/>
        <w:jc w:val="both"/>
      </w:pPr>
      <w:r>
        <w:t xml:space="preserve">O primeiro autor é destinatário final dos serviços contratados (art. 2º do CDC). Quanto à segunda autora, microempresa titularizada por pessoa natural, incide a teoria finalista mitigada, consolidada no Superior Tribunal de Justiça, que admite a aplicação do CDC à pessoa jurídica que demonstra vulnerabilidade técnica, jurídica ou econômica frente ao fornecedor, situação evidente diante de uma das maiores instituições de pagamento do país, que detém com exclusividade os registros das contas e impõe unilateralmente as condições do serviço.</w:t>
      </w:r>
    </w:p>
    <w:p>
      <w:pPr>
        <w:spacing w:after="60" w:line="360"/>
        <w:ind w:firstLine="850"/>
        <w:jc w:val="both"/>
      </w:pPr>
      <w:r>
        <w:t xml:space="preserve">A ré responde objetivamente pelos defeitos na prestação do serviço (art. 14 do CDC). Presentes a verossimilhança das alegações e a hipossuficiência técnica dos autores, que não têm acesso aos extratos das próprias contas, impõe-se a </w:t>
      </w:r>
      <w:r>
        <w:rPr>
          <w:b/>
          <w:bCs/>
          <w:u w:val="single"/>
          <w:shd w:fill="CFE2F3" w:color="auto" w:val="clear"/>
        </w:rPr>
        <w:t xml:space="preserve">inversão do ônus da prova</w:t>
      </w:r>
      <w:r>
        <w:t xml:space="preserve"> (art. 6º, VIII, do CDC), cabendo à ré demonstrar os saldos existentes na data do encerramento, o motivo concreto do encerramento, a comunicação prévia aos titulares e a destinação dada aos valores.</w:t>
      </w:r>
    </w:p>
    <w:p>
      <w:pPr>
        <w:keepNext/>
        <w:tabs>
          <w:tab w:val="left" w:pos="700"/>
        </w:tabs>
        <w:spacing w:after="160" w:before="240" w:line="360"/>
        <w:ind w:left="700" w:hanging="400"/>
      </w:pPr>
      <w:r>
        <w:rPr>
          <w:b/>
          <w:bCs/>
          <w:i/>
          <w:iCs/>
        </w:rPr>
        <w:t xml:space="preserve">b.	</w:t>
      </w:r>
      <w:r>
        <w:rPr>
          <w:b/>
          <w:bCs/>
          <w:i/>
          <w:iCs/>
        </w:rPr>
        <w:t xml:space="preserve">Da titularidade dos recursos e da ilicitude da retenção:</w:t>
      </w:r>
    </w:p>
    <w:p>
      <w:pPr>
        <w:spacing w:after="60" w:line="360"/>
        <w:ind w:firstLine="850"/>
        <w:jc w:val="both"/>
      </w:pPr>
      <w:r>
        <w:t xml:space="preserve">A lei que disciplina as instituições de pagamento estabelece que os recursos mantidos em contas de pagamento pertencem aos usuários e </w:t>
      </w:r>
      <w:r>
        <w:rPr>
          <w:b/>
          <w:bCs/>
          <w:u w:val="single"/>
          <w:shd w:fill="CFE2F3" w:color="auto" w:val="clear"/>
        </w:rPr>
        <w:t xml:space="preserve">constituem patrimônio separado, que não se confunde com o da instituição de pagamento</w:t>
      </w:r>
      <w:r>
        <w:t xml:space="preserve">:</w:t>
      </w:r>
    </w:p>
    <w:p>
      <w:pPr>
        <w:pBdr>
          <w:top w:val="single" w:color="9AA0A6" w:sz="4" w:space="6"/>
          <w:bottom w:val="single" w:color="9AA0A6" w:sz="4" w:space="6"/>
        </w:pBdr>
        <w:spacing w:after="200" w:before="160" w:line="240"/>
        <w:ind w:left="2270" w:right="570"/>
        <w:jc w:val="both"/>
      </w:pPr>
      <w:r>
        <w:rPr>
          <w:i/>
          <w:iCs/>
          <w:sz w:val="18"/>
          <w:szCs w:val="18"/>
        </w:rPr>
        <w:t xml:space="preserve">Art. 12. Os recursos mantidos em contas de pagamento: I - constituem patrimônio separado, que não se confunde com o da instituição de pagamento; II - não respondem direta ou indiretamente por nenhuma obrigação da instituição de pagamento nem podem ser objeto de arresto, sequestro, busca e apreensão ou qualquer outro ato de constrição judicial em função de débitos de responsabilidade da instituição de pagamento; [...] (Lei nº 12.865/2013)</w:t>
      </w:r>
    </w:p>
    <w:p>
      <w:pPr>
        <w:spacing w:after="60" w:line="360"/>
        <w:ind w:firstLine="850"/>
        <w:jc w:val="both"/>
      </w:pPr>
      <w:r>
        <w:t xml:space="preserve">Na mesma linha, a regulamentação do Banco Central sobre contas de pagamento (Resolução BCB nº 96/2021, art. 12) impõe à instituição, no encerramento da conta, o dever de comunicar ao titular a intenção de rescindir o contrato e de possibilitar a transferência do saldo remanescente para conta por ele indicada ou de colocá-lo à sua disposição. A ré fez o oposto: encerrou as contas e manteve os valores bloqueados, sem mecanismo algum para sua restituição.</w:t>
      </w:r>
    </w:p>
    <w:p>
      <w:pPr>
        <w:spacing w:after="60" w:line="360"/>
        <w:ind w:firstLine="850"/>
        <w:jc w:val="both"/>
      </w:pPr>
      <w:r>
        <w:t xml:space="preserve">No âmbito dos Juizados Especiais deste Estado, a 1ª Turma Recursal do TJPI firmou tese no sentido de que a retenção do saldo após o encerramento da conta caracteriza falha na prestação do serviço, </w:t>
      </w:r>
      <w:r>
        <w:rPr>
          <w:b/>
          <w:bCs/>
          <w:u w:val="single"/>
          <w:shd w:fill="CFE2F3" w:color="auto" w:val="clear"/>
        </w:rPr>
        <w:t xml:space="preserve">independentemente da legitimidade do bloqueio preventivo e do encerramento contratual</w:t>
      </w:r>
      <w:r>
        <w:t xml:space="preserve">, e configura dano moral indenizável:</w:t>
      </w:r>
    </w:p>
    <w:p>
      <w:pPr>
        <w:pBdr>
          <w:top w:val="single" w:color="9AA0A6" w:sz="4" w:space="6"/>
          <w:bottom w:val="single" w:color="9AA0A6" w:sz="4" w:space="6"/>
        </w:pBdr>
        <w:spacing w:after="200" w:before="160" w:line="240"/>
        <w:ind w:left="2270" w:right="570"/>
        <w:jc w:val="both"/>
      </w:pPr>
      <w:r>
        <w:rPr>
          <w:i/>
          <w:iCs/>
          <w:sz w:val="18"/>
          <w:szCs w:val="18"/>
        </w:rPr>
        <w:t xml:space="preserve">DIREITO DO CONSUMIDOR E PROCESSUAL CIVIL. RECURSO INOMINADO. INSTITUIÇÃO FINANCEIRA. BLOQUEIO PREVENTIVO DE CONTA BANCÁRIA. ENCERRAMENTO UNILATERAL DA RELAÇÃO CONTRATUAL. RETENÇÃO DE SALDO REMANESCENTE. FALHA NA PRESTAÇÃO DO SERVIÇO. DANOS MORAIS. MANUTENÇÃO DA SENTENÇA. RECURSO CONHECIDO E DESPROVIDO. [...] 6. A retenção dos valores após o encerramento da conta caracteriza falha na prestação do serviço bancário, independentemente da legitimidade do bloqueio preventivo e do encerramento contratual. 7. A privação injustificada do acesso a recursos financeiros de titularidade do consumidor ultrapassa o mero dissabor cotidiano e legitima a compensação por danos morais. [...] Tese de julgamento: A instituição financeira responde pela falha na prestação do serviço quando retém saldo de correntista por período prolongado após o encerramento da conta bancária. A devolução dos valores apenas no curso da demanda não afasta a caracterização da falha do serviço anteriormente verificada. A retenção indevida de recursos financeiros do consumidor configura dano moral indenizável. [...] (TJ-PI - Recurso Inominado Cível nº 0800939-21.2025.8.18.0057, Rel. Paulo Roberto de Araújo Barros, 1ª Turma Recursal, julgado em 08/07/2026)</w:t>
      </w:r>
    </w:p>
    <w:p>
      <w:pPr>
        <w:spacing w:after="60" w:line="360"/>
        <w:ind w:firstLine="850"/>
        <w:jc w:val="both"/>
      </w:pPr>
      <w:r>
        <w:t xml:space="preserve">O entendimento não é isolado. A 3ª Turma Recursal do TJPI, em caso no qual a instituição reteve o saldo da conta digital do cliente sem causa jurídica válida (a pretexto de quitar acordo que jamais fora celebrado), manteve a sentença que condenou o banco a </w:t>
      </w:r>
      <w:r>
        <w:rPr>
          <w:b/>
          <w:bCs/>
          <w:u w:val="single"/>
          <w:shd w:fill="CFE2F3" w:color="auto" w:val="clear"/>
        </w:rPr>
        <w:t xml:space="preserve">restituir integralmente o valor retido</w:t>
      </w:r>
      <w:r>
        <w:t xml:space="preserve"> e a indenizar os danos morais:</w:t>
      </w:r>
    </w:p>
    <w:p>
      <w:pPr>
        <w:pBdr>
          <w:top w:val="single" w:color="9AA0A6" w:sz="4" w:space="6"/>
          <w:bottom w:val="single" w:color="9AA0A6" w:sz="4" w:space="6"/>
        </w:pBdr>
        <w:spacing w:after="200" w:before="160" w:line="240"/>
        <w:ind w:left="2270" w:right="570"/>
        <w:jc w:val="both"/>
      </w:pPr>
      <w:r>
        <w:rPr>
          <w:i/>
          <w:iCs/>
          <w:sz w:val="18"/>
          <w:szCs w:val="18"/>
        </w:rPr>
        <w:t xml:space="preserve">RECURSO INOMINADO. AÇÃO DECLARATÓRIA DE NULIDADE DE ACORDO C/C REPETIÇÃO DO INDÉBITO E INDENIZAÇÃO POR DANOS MORAIS. PRELIMINAR DE NULIDADE DE CITAÇÃO REJEITADA. APLICABILIDADE DO CDC. INVERSÃO DO ÔNUS DA PROVA. RESPONSABILIDADE CIVIL OBJETIVA DO RÉU. RETENÇÃO DE SALDO DE CONTA DIGITAL. BLOQUEIO INDEVIDO. PLEITO AUTORAL PROCEDENTE. FALHA NA PRESTAÇÃO DO SERVIÇO. DEVER DO BANCO DE RESSARCIR O CLIENTE. DANOS MORAIS CONFIGURADOS. QUANTUM INDENIZATÓRIO PROPORCIONAL E RAZOÁVEL. SENTENÇA MANTIDA. RECURSO CONHECIDO E IMPROVIDO. (TJ-PI - Recurso Inominado Cível nº 0803814-42.2022.8.18.0162, Rel. Francisco João Damasceno, 3ª Turma Recursal, publicado em 22/11/2023)</w:t>
      </w:r>
    </w:p>
    <w:p>
      <w:pPr>
        <w:spacing w:after="60" w:line="360"/>
        <w:ind w:firstLine="850"/>
        <w:jc w:val="both"/>
      </w:pPr>
      <w:r>
        <w:t xml:space="preserve">A ré, portanto, não tem título para reter os valores. Não há débito dos autores, ordem judicial de bloqueio, nem procedimento comunicado aos titulares com indicação da conduta imputada. A retenção por prazo indefinido configura vantagem manifestamente excessiva e prática abusiva (arts. 39, V, e 51, IV, do CDC), além de </w:t>
      </w:r>
      <w:r>
        <w:rPr>
          <w:b/>
          <w:bCs/>
          <w:u w:val="single"/>
          <w:shd w:fill="CFE2F3" w:color="auto" w:val="clear"/>
        </w:rPr>
        <w:t xml:space="preserve">enriquecimento sem causa</w:t>
      </w:r>
      <w:r>
        <w:t xml:space="preserve"> (art. 884 do Código Civil).</w:t>
      </w:r>
    </w:p>
    <w:p>
      <w:pPr>
        <w:spacing w:after="60" w:line="360"/>
        <w:ind w:firstLine="850"/>
        <w:jc w:val="both"/>
      </w:pPr>
      <w:r>
        <w:t xml:space="preserve">O Superior Tribunal de Justiça já analisou controvérsia envolvendo a própria ré. No </w:t>
      </w:r>
      <w:r>
        <w:rPr>
          <w:b/>
          <w:bCs/>
          <w:u w:val="single"/>
          <w:shd w:fill="CFE2F3" w:color="auto" w:val="clear"/>
        </w:rPr>
        <w:t xml:space="preserve">AgInt no AREsp nº 2.607.102/GO</w:t>
      </w:r>
      <w:r>
        <w:t xml:space="preserve"> (Rel. Min. Humberto Martins, Terceira Turma, julgado em 22/04/2026, DJe 27/04/2026), a Corte manteve acórdão que, embora reconhecesse a validade genérica de cláusulas de bloqueio para apuração de irregularidades, considerou abusiva a retenção por período superior a 90 dias, ante a ausência de comprovação dos estornos que justificariam a medida, determinando a restituição dos valores. No caso dos autos, a situação é mais grave: os valores estão indisponíveis há quase dois anos, sem justificativa concreta, comprovação de fraude, indicação de estorno ou prazo para liberação.</w:t>
      </w:r>
    </w:p>
    <w:p>
      <w:pPr>
        <w:keepNext/>
        <w:tabs>
          <w:tab w:val="left" w:pos="700"/>
        </w:tabs>
        <w:spacing w:after="160" w:before="240" w:line="360"/>
        <w:ind w:left="700" w:hanging="400"/>
      </w:pPr>
      <w:r>
        <w:rPr>
          <w:b/>
          <w:bCs/>
          <w:i/>
          <w:iCs/>
        </w:rPr>
        <w:t xml:space="preserve">c.	</w:t>
      </w:r>
      <w:r>
        <w:rPr>
          <w:b/>
          <w:bCs/>
          <w:i/>
          <w:iCs/>
        </w:rPr>
        <w:t xml:space="preserve">Do abuso de direito e da interpretação das cláusulas contratuais:</w:t>
      </w:r>
    </w:p>
    <w:p>
      <w:pPr>
        <w:spacing w:after="60" w:line="360"/>
        <w:ind w:firstLine="850"/>
        <w:jc w:val="both"/>
      </w:pPr>
      <w:r>
        <w:t xml:space="preserve">Não se nega que a ré possa, nos termos do contrato, adotar medidas de segurança ou encerrar a relação contratual em determinadas hipóteses. O exercício dessa prerrogativa, porém, não é absoluto e </w:t>
      </w:r>
      <w:r>
        <w:rPr>
          <w:b/>
          <w:bCs/>
          <w:u w:val="single"/>
          <w:shd w:fill="CFE2F3" w:color="auto" w:val="clear"/>
        </w:rPr>
        <w:t xml:space="preserve">não autoriza a apropriação dos recursos do cliente</w:t>
      </w:r>
      <w:r>
        <w:t xml:space="preserve">. Comete ato ilícito quem exerce um direito excedendo manifestamente os limites impostos pelo seu fim econômico ou social e pela boa-fé (art. 187 do Código Civil).</w:t>
      </w:r>
    </w:p>
    <w:p>
      <w:pPr>
        <w:spacing w:after="60" w:line="360"/>
        <w:ind w:firstLine="850"/>
        <w:jc w:val="both"/>
      </w:pPr>
      <w:r>
        <w:t xml:space="preserve">A própria jurisprudência do Superior Tribunal de Justiça que admite o encerramento unilateral da conta o condiciona à </w:t>
      </w:r>
      <w:r>
        <w:rPr>
          <w:b/>
          <w:bCs/>
          <w:u w:val="single"/>
          <w:shd w:fill="CFE2F3" w:color="auto" w:val="clear"/>
        </w:rPr>
        <w:t xml:space="preserve">comunicação prévia ao titular</w:t>
      </w:r>
      <w:r>
        <w:t xml:space="preserve">, e só afasta o ilícito e o dano moral quando, além dela, há a </w:t>
      </w:r>
      <w:r>
        <w:rPr>
          <w:b/>
          <w:bCs/>
          <w:u w:val="single"/>
          <w:shd w:fill="CFE2F3" w:color="auto" w:val="clear"/>
        </w:rPr>
        <w:t xml:space="preserve">devolução do saldo</w:t>
      </w:r>
      <w:r>
        <w:t xml:space="preserve">:</w:t>
      </w:r>
    </w:p>
    <w:p>
      <w:pPr>
        <w:pBdr>
          <w:top w:val="single" w:color="9AA0A6" w:sz="4" w:space="6"/>
          <w:bottom w:val="single" w:color="9AA0A6" w:sz="4" w:space="6"/>
        </w:pBdr>
        <w:spacing w:after="200" w:before="160" w:line="240"/>
        <w:ind w:left="2270" w:right="570"/>
        <w:jc w:val="both"/>
      </w:pPr>
      <w:r>
        <w:rPr>
          <w:i/>
          <w:iCs/>
          <w:sz w:val="18"/>
          <w:szCs w:val="18"/>
        </w:rPr>
        <w:t xml:space="preserve">AGRAVO EM RECURSO ESPECIAL. PROCESSUAL CIVIL. CONTRATO BANCÁRIO. ENCERRAMENTO UNILATERAL DE CONTA CORRENTE. [...] 1. A jurisprudência desta Corte Superior consolidou-se no sentido de que é legítimo o encerramento unilateral de conta corrente por desinteresse comercial, desde que haja comunicação prévia. 2. O Tribunal de origem, amparado no acervo fático-probatório, concluiu pela licitude do encerramento da conta e pela inexistência de dano moral ante a comprovação de notificação prévia e devolução do saldo. [...] (STJ - AREsp nº 2.956.052/SP, Rel. Min. Ricardo Villas Bôas Cueva, Terceira Turma, julgado em 30/03/2026, DJEN 07/04/2026)</w:t>
      </w:r>
    </w:p>
    <w:p>
      <w:pPr>
        <w:spacing w:after="60" w:line="360"/>
        <w:ind w:firstLine="850"/>
        <w:jc w:val="both"/>
      </w:pPr>
      <w:r>
        <w:t xml:space="preserve">No mesmo sentido, o AgInt no AREsp nº 1.478.859/SP (Rel. Min. Marco Aurélio Bellizze, Terceira Turma, DJe 03/03/2021) qualifica o encerramento como direito subjetivo das partes “desde que observada a prévia e regular notificação”. No caso dos autos, </w:t>
      </w:r>
      <w:r>
        <w:rPr>
          <w:b/>
          <w:bCs/>
          <w:u w:val="single"/>
          <w:shd w:fill="CFE2F3" w:color="auto" w:val="clear"/>
        </w:rPr>
        <w:t xml:space="preserve">nenhuma das duas condições foi atendida</w:t>
      </w:r>
      <w:r>
        <w:t xml:space="preserve">: as contas foram encerradas sem comunicação prévia e o saldo jamais foi devolvido. O precedente que a ré certamente invocará, portanto, confirma a ilicitude de sua conduta.</w:t>
      </w:r>
    </w:p>
    <w:p>
      <w:pPr>
        <w:spacing w:after="60" w:line="360"/>
        <w:ind w:firstLine="850"/>
        <w:jc w:val="both"/>
      </w:pPr>
      <w:r>
        <w:t xml:space="preserve">O abuso decorre do conjunto das circunstâncias: (i) ausência de indicação do motivo concreto da restrição; (ii) encerramento sem comunicação prévia; (iii) manutenção do bloqueio por quase dois anos, sem prazo definido; e (iv) confissão da própria ré, perante o PROCON, de que “não é possível desbloquear os valores”, sem apresentar alternativa para restituí-los. A menção genérica a “medidas de segurança” e “indício de ilicitude” não supre o dever de informação clara e adequada (art. 6º, III, do CDC).</w:t>
      </w:r>
    </w:p>
    <w:p>
      <w:pPr>
        <w:spacing w:after="60" w:line="360"/>
        <w:ind w:firstLine="850"/>
        <w:jc w:val="both"/>
      </w:pPr>
      <w:r>
        <w:t xml:space="preserve">As cláusulas 5.10, 5.15.3 e 14.4, invocadas pela ré, não podem ser interpretadas de forma absoluta. Sua aplicação deve observar a boa-fé objetiva e a função social do contrato (arts. 421 e 422 do Código Civil) e, nos termos do art. 47 do CDC, ser interpretada da maneira mais favorável ao consumidor, não se prestando a legitimar a retenção indefinida de valores de titularidade dos autores.</w:t>
      </w:r>
    </w:p>
    <w:p>
      <w:pPr>
        <w:spacing w:after="60" w:line="360"/>
        <w:ind w:firstLine="850"/>
        <w:jc w:val="both"/>
      </w:pPr>
      <w:r>
        <w:t xml:space="preserve">Mesmo que afastada a incidência do diploma consumerista em relação à segunda autora, a conclusão seria a mesma, pois a retenção de valores alheios sem causa jurídica configura ato ilícito e enriquecimento sem causa (arts. 186, 187, 884 e 927 do Código Civil).</w:t>
      </w:r>
    </w:p>
    <w:p>
      <w:pPr>
        <w:keepNext/>
        <w:tabs>
          <w:tab w:val="left" w:pos="700"/>
        </w:tabs>
        <w:spacing w:after="160" w:before="240" w:line="360"/>
        <w:ind w:left="700" w:hanging="400"/>
      </w:pPr>
      <w:r>
        <w:rPr>
          <w:b/>
          <w:bCs/>
          <w:i/>
          <w:iCs/>
        </w:rPr>
        <w:t xml:space="preserve">d.	</w:t>
      </w:r>
      <w:r>
        <w:rPr>
          <w:b/>
          <w:bCs/>
          <w:i/>
          <w:iCs/>
        </w:rPr>
        <w:t xml:space="preserve">Da restituição dos saldos e da exibição dos extratos:</w:t>
      </w:r>
    </w:p>
    <w:p>
      <w:pPr>
        <w:spacing w:after="60" w:line="360"/>
        <w:ind w:firstLine="850"/>
        <w:jc w:val="both"/>
      </w:pPr>
      <w:r>
        <w:t xml:space="preserve">Os autores têm direito à restituição integral dos saldos existentes em ambas as contas na data do encerramento, com correção monetária desde 04/11/2024 e juros de mora desde a citação (arts. 389, 405 e 406 do Código Civil, na redação da Lei nº 14.905/2024).</w:t>
      </w:r>
    </w:p>
    <w:p>
      <w:pPr>
        <w:spacing w:after="60" w:line="360"/>
        <w:ind w:firstLine="850"/>
        <w:jc w:val="both"/>
      </w:pPr>
      <w:r>
        <w:t xml:space="preserve">Como o valor exato depende de documentos que estão exclusivamente em poder da ré, o pedido é formulado de forma genérica quanto ao montante, o que é admitido quando não for possível determinar, desde logo, a extensão da obrigação (art. 14, § 2º, da Lei nº 9.099/1995 e art. 324, § 1º, III, do CPC), indicando-se como estimativa o valor de R$ 3.500,00.</w:t>
      </w:r>
    </w:p>
    <w:p>
      <w:pPr>
        <w:spacing w:after="60" w:line="360"/>
        <w:ind w:firstLine="850"/>
        <w:jc w:val="both"/>
      </w:pPr>
      <w:r>
        <w:t xml:space="preserve">Requer-se, ainda, que a ré seja compelida a exibir os extratos completos das duas contas, desde a abertura até o encerramento, bem como os documentos relativos ao bloqueio e ao encerramento (arts. 396 e 399, I e III, do CPC). Em caso de recusa ou omissão, deverão ser admitidos como verdadeiros os fatos que os autores pretendem provar, prevalecendo o valor estimado nesta inicial (art. 400 do CPC).</w:t>
      </w:r>
    </w:p>
    <w:p>
      <w:pPr>
        <w:keepNext/>
        <w:tabs>
          <w:tab w:val="left" w:pos="700"/>
        </w:tabs>
        <w:spacing w:after="160" w:before="240" w:line="360"/>
        <w:ind w:left="700" w:hanging="400"/>
      </w:pPr>
      <w:r>
        <w:rPr>
          <w:b/>
          <w:bCs/>
          <w:i/>
          <w:iCs/>
        </w:rPr>
        <w:t xml:space="preserve">e.	</w:t>
      </w:r>
      <w:r>
        <w:rPr>
          <w:b/>
          <w:bCs/>
          <w:i/>
          <w:iCs/>
        </w:rPr>
        <w:t xml:space="preserve">Dos danos morais:</w:t>
      </w:r>
    </w:p>
    <w:p>
      <w:pPr>
        <w:spacing w:after="60" w:line="360"/>
        <w:ind w:firstLine="850"/>
        <w:jc w:val="both"/>
      </w:pPr>
      <w:r>
        <w:t xml:space="preserve">A conduta da ré ultrapassa o mero inadimplemento contratual. O primeiro autor, pequeno comerciante, está privado de recursos próprios há quase dois anos, sem informação clara sobre a causa da restrição ou sobre o destino dos valores, e foi obrigado a percorrer o atendimento telefônico da ré, aguardar respostas que nunca vieram e recorrer ao PROCON, sem êxito. Como assentaram a 1ª e a 3ª Turmas Recursais do TJPI nos precedentes acima transcritos, a privação injustificada do acesso a recursos financeiros do consumidor ultrapassa o mero dissabor cotidiano. A situação caracteriza, ainda, o </w:t>
      </w:r>
      <w:r>
        <w:rPr>
          <w:b/>
          <w:bCs/>
          <w:u w:val="single"/>
          <w:shd w:fill="CFE2F3" w:color="auto" w:val="clear"/>
        </w:rPr>
        <w:t xml:space="preserve">desvio produtivo do consumidor</w:t>
      </w:r>
      <w:r>
        <w:t xml:space="preserve">, isto é, a perda de tempo útil para resolver problema criado exclusivamente pelo fornecedor, e é agravada pela manutenção do bloqueio mesmo após a provocação do órgão de defesa do consumidor.</w:t>
      </w:r>
    </w:p>
    <w:p>
      <w:pPr>
        <w:spacing w:after="60" w:line="360"/>
        <w:ind w:firstLine="850"/>
        <w:jc w:val="both"/>
      </w:pPr>
      <w:r>
        <w:t xml:space="preserve">Quanto à segunda autora, a pessoa jurídica pode sofrer dano moral (</w:t>
      </w:r>
      <w:r>
        <w:rPr>
          <w:b/>
          <w:bCs/>
          <w:u w:val="single"/>
          <w:shd w:fill="CFE2F3" w:color="auto" w:val="clear"/>
        </w:rPr>
        <w:t xml:space="preserve">Súmula 227 do STJ</w:t>
      </w:r>
      <w:r>
        <w:t xml:space="preserve">). O bloqueio súbito da conta empresarial, por meio da qual eram movimentadas as receitas do estabelecimento, sob a imputação genérica de “indício de ilicitude”, comprometeu a organização financeira do negócio e atingiu sua honra objetiva.</w:t>
      </w:r>
    </w:p>
    <w:p>
      <w:pPr>
        <w:spacing w:after="60" w:line="360"/>
        <w:ind w:firstLine="850"/>
        <w:jc w:val="both"/>
      </w:pPr>
      <w:r>
        <w:t xml:space="preserve">Considerando a duração da retenção, a recusa injustificada em resolver o problema na via administrativa, a capacidade econômica das partes e o caráter pedagógico da condenação, mostra-se razoável a fixação da indenização em </w:t>
      </w:r>
      <w:r>
        <w:rPr>
          <w:b/>
          <w:bCs/>
          <w:u w:val="single"/>
          <w:shd w:fill="CFE2F3" w:color="auto" w:val="clear"/>
        </w:rPr>
        <w:t xml:space="preserve">R$ 5.000,00 (cinco mil reais) para cada autor</w:t>
      </w:r>
      <w:r>
        <w:t xml:space="preserve">, totalizando R$ 10.000,00 (dez mil reais).</w:t>
      </w:r>
    </w:p>
    <w:p>
      <w:pPr>
        <w:shd w:fill="123BB8" w:color="auto" w:val="clear"/>
        <w:tabs>
          <w:tab w:val="left" w:pos="1000"/>
        </w:tabs>
        <w:spacing w:after="240" w:before="360" w:line="360"/>
        <w:ind w:left="0"/>
      </w:pPr>
      <w:r>
        <w:rPr>
          <w:b/>
          <w:bCs/>
          <w:i/>
          <w:iCs/>
          <w:color w:val="FFFFFF"/>
        </w:rPr>
        <w:t xml:space="preserve">	Da tutela de urgência.</w:t>
      </w:r>
    </w:p>
    <w:p>
      <w:pPr>
        <w:spacing w:after="60" w:line="360"/>
        <w:ind w:firstLine="850"/>
        <w:jc w:val="both"/>
      </w:pPr>
      <w:r>
        <w:t xml:space="preserve">Estão presentes os requisitos do art. 300 do CPC. A probabilidade do direito decorre da titularidade dos valores, que constituem patrimônio separado do da ré (art. 12 da Lei nº 12.865/2013), da inexistência de qualquer débito dos autores e da própria resposta da ré ao PROCON, que não aponta conduta concreta e admite não haver previsão de desbloqueio.</w:t>
      </w:r>
    </w:p>
    <w:p>
      <w:pPr>
        <w:spacing w:after="60" w:line="360"/>
        <w:ind w:firstLine="850"/>
        <w:jc w:val="both"/>
      </w:pPr>
      <w:r>
        <w:t xml:space="preserve">O perigo de dano está na privação continuada de recursos de pequeno comerciante, que já perdura por quase dois anos, e no risco de que os registros das contas encerradas deixem de ser preservados, comprometendo a apuração do valor devido. A medida é plenamente reversível (art. 300, § 3º, do CPC).</w:t>
      </w:r>
    </w:p>
    <w:p>
      <w:pPr>
        <w:spacing w:after="60" w:line="360"/>
        <w:ind w:firstLine="850"/>
        <w:jc w:val="both"/>
      </w:pPr>
      <w:r>
        <w:t xml:space="preserve">Requer-se, assim, a concessão de tutela de urgência para determinar que a ré, no prazo de 5 (cinco) dias: (i) apresente nos autos os extratos completos das duas contas e informe o saldo existente em cada uma em 04/11/2024; e (ii) deposite judicialmente os valores apurados ou os transfira para conta indicada pelos autores, sob pena de multa diária a ser fixada por Vossa Excelência (art. 84, § 4º, do CDC e art. 537 do CPC).</w:t>
      </w:r>
    </w:p>
    <w:p>
      <w:pPr>
        <w:shd w:fill="123BB8" w:color="auto" w:val="clear"/>
        <w:tabs>
          <w:tab w:val="left" w:pos="1000"/>
        </w:tabs>
        <w:spacing w:after="240" w:before="360" w:line="360"/>
        <w:ind w:left="0"/>
      </w:pPr>
      <w:r>
        <w:rPr>
          <w:b/>
          <w:bCs/>
          <w:i/>
          <w:iCs/>
          <w:color w:val="FFFFFF"/>
        </w:rPr>
        <w:t xml:space="preserve">	Dos pedidos.</w:t>
      </w:r>
    </w:p>
    <w:p>
      <w:pPr>
        <w:spacing w:after="60" w:line="360"/>
        <w:ind w:firstLine="0"/>
        <w:jc w:val="both"/>
      </w:pPr>
      <w:r>
        <w:t xml:space="preserve">Ante o exposto, requerem a Vossa Excelência:</w:t>
      </w:r>
    </w:p>
    <w:p>
      <w:pPr>
        <w:tabs>
          <w:tab w:val="left" w:pos="1000"/>
        </w:tabs>
        <w:spacing w:after="60" w:line="360"/>
        <w:ind w:left="1000" w:hanging="400"/>
        <w:jc w:val="both"/>
      </w:pPr>
      <w:r>
        <w:t xml:space="preserve">A.	</w:t>
      </w:r>
      <w:r>
        <w:t xml:space="preserve">a concessão da tutela de urgência, para determinar que a ré, no prazo de 5 (cinco) dias, apresente os extratos completos das contas de pessoa física e de pessoa jurídica dos autores, informe o saldo existente em cada uma em 04/11/2024 e deposite judicialmente os valores apurados, ou os transfira para conta indicada pelos autores, sob pena de multa diária;</w:t>
      </w:r>
    </w:p>
    <w:p>
      <w:pPr>
        <w:tabs>
          <w:tab w:val="left" w:pos="1000"/>
        </w:tabs>
        <w:spacing w:after="60" w:line="360"/>
        <w:ind w:left="1000" w:hanging="400"/>
        <w:jc w:val="both"/>
      </w:pPr>
      <w:r>
        <w:t xml:space="preserve">B.	</w:t>
      </w:r>
      <w:r>
        <w:t xml:space="preserve">a citação da ré, por via postal com aviso de recebimento ou por meio eletrônico, para comparecer à audiência de conciliação, preferencialmente por videoconferência (art. 22, § 2º, da Lei nº 9.099/1995), e, querendo, apresentar defesa, sob pena de revelia;</w:t>
      </w:r>
    </w:p>
    <w:p>
      <w:pPr>
        <w:tabs>
          <w:tab w:val="left" w:pos="1000"/>
        </w:tabs>
        <w:spacing w:after="60" w:line="360"/>
        <w:ind w:left="1000" w:hanging="400"/>
        <w:jc w:val="both"/>
      </w:pPr>
      <w:r>
        <w:t xml:space="preserve">C.	</w:t>
      </w:r>
      <w:r>
        <w:t xml:space="preserve">o reconhecimento da relação de consumo, inclusive quanto à segunda autora, e a inversão do ônus da prova (art. 6º, VIII, do CDC);</w:t>
      </w:r>
    </w:p>
    <w:p>
      <w:pPr>
        <w:tabs>
          <w:tab w:val="left" w:pos="1000"/>
        </w:tabs>
        <w:spacing w:after="60" w:line="360"/>
        <w:ind w:left="1000" w:hanging="400"/>
        <w:jc w:val="both"/>
      </w:pPr>
      <w:r>
        <w:t xml:space="preserve">D.	</w:t>
      </w:r>
      <w:r>
        <w:t xml:space="preserve">a intimação da ré para exibir os extratos completos das duas contas, desde a abertura até o encerramento, e os documentos relativos ao bloqueio e ao encerramento, sob as penas do art. 400 do CPC;</w:t>
      </w:r>
    </w:p>
    <w:p>
      <w:pPr>
        <w:tabs>
          <w:tab w:val="left" w:pos="1000"/>
        </w:tabs>
        <w:spacing w:after="60" w:line="360"/>
        <w:ind w:left="1000" w:hanging="400"/>
        <w:jc w:val="both"/>
      </w:pPr>
      <w:r>
        <w:t xml:space="preserve">E.	</w:t>
      </w:r>
      <w:r>
        <w:t xml:space="preserve">no mérito, a confirmação da tutela de urgência e a condenação da ré a restituir aos autores a integralidade dos saldos existentes nas contas na data do encerramento, em valor a ser apurado com base nos extratos e estimado em R$ 3.500,00 (três mil e quinhentos reais), com correção monetária desde 04/11/2024 e juros de mora desde a citação;</w:t>
      </w:r>
    </w:p>
    <w:p>
      <w:pPr>
        <w:tabs>
          <w:tab w:val="left" w:pos="1000"/>
        </w:tabs>
        <w:spacing w:after="60" w:line="360"/>
        <w:ind w:left="1000" w:hanging="400"/>
        <w:jc w:val="both"/>
      </w:pPr>
      <w:r>
        <w:t xml:space="preserve">F.	</w:t>
      </w:r>
      <w:r>
        <w:t xml:space="preserve">a condenação da ré ao pagamento de indenização por danos morais no valor de R$ 5.000,00 (cinco mil reais) ao primeiro autor e de R$ 5.000,00 (cinco mil reais) à segunda autora, com correção monetária desde o arbitramento (Súmula 362 do STJ) e juros de mora desde a citação;</w:t>
      </w:r>
    </w:p>
    <w:p>
      <w:pPr>
        <w:tabs>
          <w:tab w:val="left" w:pos="1000"/>
        </w:tabs>
        <w:spacing w:after="60" w:line="360"/>
        <w:ind w:left="1000" w:hanging="400"/>
        <w:jc w:val="both"/>
      </w:pPr>
      <w:r>
        <w:t xml:space="preserve">G.	</w:t>
      </w:r>
      <w:r>
        <w:t xml:space="preserve">em caso de recurso, a condenação da ré ao pagamento de custas e honorários advocatícios, nos termos do art. 55 da Lei nº 9.099/1995.</w:t>
      </w:r>
    </w:p>
    <w:p>
      <w:pPr>
        <w:spacing w:after="60" w:line="360"/>
        <w:ind w:firstLine="850"/>
        <w:jc w:val="both"/>
      </w:pPr>
      <w:r>
        <w:t xml:space="preserve">Protestam os autores pela produção de todos os meios de prova admitidos em direito, em especial a prova documental acostada a esta inicial, a exibição de documentos acima requerida e o depoimento pessoal do representante da ré.</w:t>
      </w:r>
    </w:p>
    <w:p>
      <w:pPr>
        <w:spacing w:after="60" w:line="360"/>
        <w:ind w:firstLine="850"/>
        <w:jc w:val="both"/>
      </w:pPr>
      <w:r>
        <w:t xml:space="preserve">Dá-se à causa o valor de </w:t>
      </w:r>
      <w:r>
        <w:rPr>
          <w:b/>
          <w:bCs/>
          <w:u w:val="single"/>
          <w:shd w:fill="CFE2F3" w:color="auto" w:val="clear"/>
        </w:rPr>
        <w:t xml:space="preserve">R$ 13.500,00 (treze mil e quinhentos reais)</w:t>
      </w:r>
      <w:r>
        <w:t xml:space="preserve">, correspondente à soma do valor estimado dos saldos e das indenizações pretendidas (art. 292, VI, do CPC).</w:t>
      </w:r>
    </w:p>
    <w:p>
      <w:pPr>
        <w:spacing w:after="60" w:line="360"/>
        <w:ind w:firstLine="0"/>
        <w:jc w:val="both"/>
      </w:pPr>
      <w:r>
        <w:t xml:space="preserve">Rol de documentos:</w:t>
      </w:r>
    </w:p>
    <w:p>
      <w:pPr>
        <w:spacing w:after="0" w:line="300"/>
        <w:ind w:left="850"/>
      </w:pPr>
      <w:r>
        <w:rPr>
          <w:b/>
          <w:bCs/>
          <w:sz w:val="22"/>
          <w:szCs w:val="22"/>
          <w:shd w:fill="FFF200" w:color="auto" w:val="clear"/>
        </w:rPr>
        <w:t xml:space="preserve">[Doc. 01 – Procurações (pessoa física e pessoa jurídica);]</w:t>
      </w:r>
    </w:p>
    <w:p>
      <w:pPr>
        <w:spacing w:after="0" w:line="300"/>
        <w:ind w:left="850"/>
      </w:pPr>
      <w:r>
        <w:rPr>
          <w:b/>
          <w:bCs/>
          <w:sz w:val="22"/>
          <w:szCs w:val="22"/>
          <w:shd w:fill="FFF200" w:color="auto" w:val="clear"/>
        </w:rPr>
        <w:t xml:space="preserve">[Doc. 02 – Documento de identidade e CPF do autor;]</w:t>
      </w:r>
    </w:p>
    <w:p>
      <w:pPr>
        <w:spacing w:after="0" w:line="300"/>
        <w:ind w:left="850"/>
      </w:pPr>
      <w:r>
        <w:rPr>
          <w:b/>
          <w:bCs/>
          <w:sz w:val="22"/>
          <w:szCs w:val="22"/>
          <w:shd w:fill="FFF200" w:color="auto" w:val="clear"/>
        </w:rPr>
        <w:t xml:space="preserve">[Doc. 03 – Comprovante de residência;]</w:t>
      </w:r>
    </w:p>
    <w:p>
      <w:pPr>
        <w:spacing w:after="0" w:line="300"/>
        <w:ind w:left="850"/>
      </w:pPr>
      <w:r>
        <w:rPr>
          <w:b/>
          <w:bCs/>
          <w:sz w:val="22"/>
          <w:szCs w:val="22"/>
          <w:shd w:fill="FFF200" w:color="auto" w:val="clear"/>
        </w:rPr>
        <w:t xml:space="preserve">[Doc. 04 – Comprovante de inscrição no CNPJ e requerimento de empresário;]</w:t>
      </w:r>
    </w:p>
    <w:p>
      <w:pPr>
        <w:spacing w:after="0" w:line="300"/>
        <w:ind w:left="850"/>
      </w:pPr>
      <w:r>
        <w:rPr>
          <w:b/>
          <w:bCs/>
          <w:sz w:val="22"/>
          <w:szCs w:val="22"/>
          <w:shd w:fill="FFF200" w:color="auto" w:val="clear"/>
        </w:rPr>
        <w:t xml:space="preserve">[Doc. 05 – Comprovantes de titularidade das contas no PagBank (prints, comprovantes de transações);]</w:t>
      </w:r>
    </w:p>
    <w:p>
      <w:pPr>
        <w:spacing w:after="0" w:line="300"/>
        <w:ind w:left="850"/>
      </w:pPr>
      <w:r>
        <w:rPr>
          <w:b/>
          <w:bCs/>
          <w:sz w:val="22"/>
          <w:szCs w:val="22"/>
          <w:shd w:fill="FFF200" w:color="auto" w:val="clear"/>
        </w:rPr>
        <w:t xml:space="preserve">[Doc. 06 – Registros do encerramento das contas e e-mails recebidos da ré;]</w:t>
      </w:r>
    </w:p>
    <w:p>
      <w:pPr>
        <w:spacing w:after="0" w:line="300"/>
        <w:ind w:left="850"/>
      </w:pPr>
      <w:r>
        <w:rPr>
          <w:b/>
          <w:bCs/>
          <w:sz w:val="22"/>
          <w:szCs w:val="22"/>
          <w:shd w:fill="FFF200" w:color="auto" w:val="clear"/>
        </w:rPr>
        <w:t xml:space="preserve">[Doc. 07 – Protocolos dos atendimentos telefônicos;]</w:t>
      </w:r>
    </w:p>
    <w:p>
      <w:pPr>
        <w:spacing w:after="0" w:line="300"/>
        <w:ind w:left="850"/>
      </w:pPr>
      <w:r>
        <w:rPr>
          <w:b/>
          <w:bCs/>
          <w:sz w:val="22"/>
          <w:szCs w:val="22"/>
          <w:shd w:fill="FFF200" w:color="auto" w:val="clear"/>
        </w:rPr>
        <w:t xml:space="preserve">[Doc. 08 – Reclamação no PROCON (protocolo nº 2503002600200036301) e resposta da ré de 20/03/2025;]</w:t>
      </w:r>
    </w:p>
    <w:p>
      <w:pPr>
        <w:spacing w:after="0" w:line="300"/>
        <w:ind w:left="850"/>
      </w:pPr>
      <w:r>
        <w:rPr>
          <w:b/>
          <w:bCs/>
          <w:sz w:val="22"/>
          <w:szCs w:val="22"/>
          <w:shd w:fill="FFF200" w:color="auto" w:val="clear"/>
        </w:rPr>
        <w:t xml:space="preserve">[Doc. 09 – Termos de uso do PagBank (cláusulas 5.10, 5.15.3 e 14.4);]</w:t>
      </w:r>
    </w:p>
    <w:p>
      <w:pPr>
        <w:spacing w:after="0" w:line="300"/>
        <w:ind w:left="850"/>
      </w:pPr>
      <w:r>
        <w:rPr>
          <w:b/>
          <w:bCs/>
          <w:sz w:val="22"/>
          <w:szCs w:val="22"/>
          <w:shd w:fill="FFF200" w:color="auto" w:val="clear"/>
        </w:rPr>
        <w:t xml:space="preserve">[Doc. 10 – Inteiro teor do AgInt no AREsp nº 2.607.102/GO, do AREsp nº 2.956.052/SP, do AgInt no AREsp nº 1.478.859/SP e dos RIs nº 0800939-21.2025.8.18.0057 e nº 0803814-42.2022.8.18.0162 (TJPI).]</w:t>
      </w:r>
    </w:p>
    <w:p>
      <w:pPr>
        <w:spacing w:after="0"/>
      </w:pPr>
    </w:p>
    <w:p>
      <w:pPr>
        <w:spacing w:after="0" w:line="360"/>
        <w:jc w:val="center"/>
      </w:pPr>
      <w:r>
        <w:t xml:space="preserve">Nestes termos,</w:t>
      </w:r>
    </w:p>
    <w:p>
      <w:pPr>
        <w:spacing w:after="0" w:line="360"/>
        <w:jc w:val="center"/>
      </w:pPr>
      <w:r>
        <w:t xml:space="preserve">Pede deferimento.</w:t>
      </w:r>
    </w:p>
    <w:p>
      <w:pPr>
        <w:spacing w:after="0"/>
      </w:pPr>
    </w:p>
    <w:p>
      <w:pPr>
        <w:spacing w:after="0" w:line="360"/>
        <w:jc w:val="center"/>
      </w:pPr>
      <w:r>
        <w:t xml:space="preserve">Miguel Alves-PI, datado eletronicamente.</w:t>
      </w:r>
    </w:p>
    <w:p>
      <w:pPr>
        <w:spacing w:after="0"/>
      </w:pPr>
    </w:p>
    <w:p>
      <w:pPr>
        <w:spacing w:after="0" w:line="360"/>
        <w:jc w:val="center"/>
      </w:pPr>
      <w:r>
        <w:rPr>
          <w:b/>
          <w:bCs/>
        </w:rPr>
        <w:t xml:space="preserve">ANTÔNIO DE PÁDUA SANTOS NETO</w:t>
      </w:r>
    </w:p>
    <w:p>
      <w:pPr>
        <w:spacing w:after="0" w:line="360"/>
        <w:jc w:val="center"/>
      </w:pPr>
      <w:r>
        <w:rPr>
          <w:b/>
          <w:bCs/>
        </w:rPr>
        <w:t xml:space="preserve">ADVOGADO - OAB/PI 21.320</w:t>
      </w:r>
    </w:p>
    <w:sectPr>
      <w:headerReference w:type="default" r:id="rId7"/>
      <w:footerReference w:type="default" r:id="rId8"/>
      <w:pgSz w:w="11906" w:h="16838" w:orient="portrait"/>
      <w:pgMar w:top="2330" w:right="1134" w:bottom="15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0A6" w:sz="6" w:space="4"/>
      </w:pBdr>
      <w:spacing w:line="240"/>
      <w:jc w:val="center"/>
    </w:pPr>
    <w:r>
      <w:rPr>
        <w:b/>
        <w:bCs/>
        <w:i/>
        <w:iCs/>
        <w:color w:val="123BB8"/>
        <w:sz w:val="16"/>
        <w:szCs w:val="16"/>
      </w:rPr>
      <w:t xml:space="preserve">Rua Rio Grande do Sul, 1641, bairro São Miguel, CEP: 64.130-000, Miguel Alves-PI - (86) 9 7400-9869 - paduanetojus@gmail.com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809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09750" cy="952500"/>
                  </a:xfrm>
                  <a:prstGeom prst="rect">
                    <a:avLst/>
                  </a:prstGeom>
                </pic:spPr>
              </pic:pic>
            </a:graphicData>
          </a:graphic>
        </wp:inline>
      </w:drawing>
    </w:r>
  </w:p>
  <w:p>
    <w:pPr>
      <w:pBdr>
        <w:bottom w:val="single" w:color="9AA0A6"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a26ce5428c3d3d8b74c564df80a7d487fd53a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Antônio de Pádua Santos Neto</dc:creator>
  <cp:lastModifiedBy>Un-named</cp:lastModifiedBy>
  <cp:revision>1</cp:revision>
  <dcterms:created xsi:type="dcterms:W3CDTF">2026-10-03T02:33:01.698Z</dcterms:created>
  <dcterms:modified xsi:type="dcterms:W3CDTF">2026-10-03T02:33:01.705Z</dcterms:modified>
</cp:coreProperties>
</file>

<file path=docProps/custom.xml><?xml version="1.0" encoding="utf-8"?>
<Properties xmlns="http://schemas.openxmlformats.org/officeDocument/2006/custom-properties" xmlns:vt="http://schemas.openxmlformats.org/officeDocument/2006/docPropsVTypes"/>
</file>