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360"/>
        <w:jc w:val="center"/>
      </w:pPr>
      <w:r>
        <w:rPr>
          <w:rFonts w:ascii="Times New Roman" w:cs="Times New Roman" w:eastAsia="Times New Roman" w:hAnsi="Times New Roman"/>
          <w:b/>
          <w:bCs/>
          <w:sz w:val="26"/>
          <w:szCs w:val="26"/>
        </w:rPr>
        <w:t xml:space="preserve">CONTRATO PARTICULAR DE COMPRA E VENDA DO DOMÍNIO ÚTIL DE TERRENO FOREIRO MUNICIPAL</w:t>
      </w:r>
    </w:p>
    <w:p>
      <w:pPr>
        <w:spacing w:after="160" w:line="360"/>
        <w:jc w:val="both"/>
      </w:pPr>
      <w:r>
        <w:rPr>
          <w:rFonts w:ascii="Times New Roman" w:cs="Times New Roman" w:eastAsia="Times New Roman" w:hAnsi="Times New Roman"/>
          <w:sz w:val="24"/>
          <w:szCs w:val="24"/>
        </w:rPr>
        <w:t xml:space="preserve">Pelo presente instrumento particular, de um lado, como </w:t>
      </w:r>
      <w:r>
        <w:rPr>
          <w:rFonts w:ascii="Times New Roman" w:cs="Times New Roman" w:eastAsia="Times New Roman" w:hAnsi="Times New Roman"/>
          <w:b/>
          <w:bCs/>
          <w:sz w:val="24"/>
          <w:szCs w:val="24"/>
        </w:rPr>
        <w:t xml:space="preserve">VENDEDORA</w:t>
      </w:r>
      <w:r>
        <w:rPr>
          <w:rFonts w:ascii="Times New Roman" w:cs="Times New Roman" w:eastAsia="Times New Roman" w:hAnsi="Times New Roman"/>
          <w:sz w:val="24"/>
          <w:szCs w:val="24"/>
        </w:rPr>
        <w:t xml:space="preserve">:</w:t>
      </w:r>
    </w:p>
    <w:p>
      <w:pPr>
        <w:spacing w:after="120" w:line="360"/>
        <w:ind w:left="1134"/>
        <w:jc w:val="both"/>
      </w:pPr>
      <w:r>
        <w:rPr>
          <w:rFonts w:ascii="Times New Roman" w:cs="Times New Roman" w:eastAsia="Times New Roman" w:hAnsi="Times New Roman"/>
          <w:b/>
          <w:bCs/>
          <w:sz w:val="24"/>
          <w:szCs w:val="24"/>
        </w:rPr>
        <w:t xml:space="preserve">FRANCISCA FERREIRA DOS SANTOS</w:t>
      </w:r>
      <w:r>
        <w:rPr>
          <w:rFonts w:ascii="Times New Roman" w:cs="Times New Roman" w:eastAsia="Times New Roman" w:hAnsi="Times New Roman"/>
          <w:sz w:val="24"/>
          <w:szCs w:val="24"/>
        </w:rPr>
        <w:t xml:space="preserve">, brasileira, solteira, nascida em 26/06/1972, natural de Barras/PI, filha de Maria de Nasaré Ferreira dos Santos e Domingos Martins dos Santos, portadora da Carteira de Identidade nº 895.416.693-87 (SSP/PI, emitida em 26/12/2025), inscrita no CPF sob o nº 895.416.693-87, residente e domiciliada na Rua 19 de Setembro, nº 888, zona urbana, Miguel Alves/PI, CEP 64.130-000;</w:t>
      </w:r>
    </w:p>
    <w:p>
      <w:pPr>
        <w:spacing w:after="160" w:line="360"/>
        <w:jc w:val="both"/>
      </w:pPr>
      <w:r>
        <w:rPr>
          <w:rFonts w:ascii="Times New Roman" w:cs="Times New Roman" w:eastAsia="Times New Roman" w:hAnsi="Times New Roman"/>
          <w:sz w:val="24"/>
          <w:szCs w:val="24"/>
        </w:rPr>
        <w:t xml:space="preserve">e, de outro lado, como </w:t>
      </w:r>
      <w:r>
        <w:rPr>
          <w:rFonts w:ascii="Times New Roman" w:cs="Times New Roman" w:eastAsia="Times New Roman" w:hAnsi="Times New Roman"/>
          <w:b/>
          <w:bCs/>
          <w:sz w:val="24"/>
          <w:szCs w:val="24"/>
        </w:rPr>
        <w:t xml:space="preserve">COMPRADOR</w:t>
      </w:r>
      <w:r>
        <w:rPr>
          <w:rFonts w:ascii="Times New Roman" w:cs="Times New Roman" w:eastAsia="Times New Roman" w:hAnsi="Times New Roman"/>
          <w:sz w:val="24"/>
          <w:szCs w:val="24"/>
        </w:rPr>
        <w:t xml:space="preserve">:</w:t>
      </w:r>
    </w:p>
    <w:p>
      <w:pPr>
        <w:spacing w:after="120" w:line="360"/>
        <w:ind w:left="1134"/>
        <w:jc w:val="both"/>
      </w:pPr>
      <w:r>
        <w:rPr>
          <w:rFonts w:ascii="Times New Roman" w:cs="Times New Roman" w:eastAsia="Times New Roman" w:hAnsi="Times New Roman"/>
          <w:b/>
          <w:bCs/>
          <w:sz w:val="24"/>
          <w:szCs w:val="24"/>
        </w:rPr>
        <w:t xml:space="preserve">MATHEUS ROCHA SILVA</w:t>
      </w:r>
      <w:r>
        <w:rPr>
          <w:rFonts w:ascii="Times New Roman" w:cs="Times New Roman" w:eastAsia="Times New Roman" w:hAnsi="Times New Roman"/>
          <w:sz w:val="24"/>
          <w:szCs w:val="24"/>
        </w:rPr>
        <w:t xml:space="preserve">, brasileiro, solteiro, vendedor, nascido em 13/12/1994, filho de Sebastiana da Silva Sousa, portador do RG nº 3610924, inscrito no CPF sob o nº 063.710.933-39, residente e domiciliado na Rua 07 de Julho, nº 82, Bairro Centro, Miguel Alves/PI, CEP 64.130-000, sem endereço eletrônico;</w:t>
      </w:r>
    </w:p>
    <w:p>
      <w:pPr>
        <w:spacing w:after="160" w:line="360"/>
        <w:jc w:val="both"/>
      </w:pPr>
      <w:r>
        <w:rPr>
          <w:rFonts w:ascii="Times New Roman" w:cs="Times New Roman" w:eastAsia="Times New Roman" w:hAnsi="Times New Roman"/>
          <w:sz w:val="24"/>
          <w:szCs w:val="24"/>
        </w:rPr>
        <w:t xml:space="preserve">doravante designados simplesmente VENDEDORA e COMPRADOR, têm entre si, justo e contratado, o presente instrumento, que se regerá pelas cláusulas e condições seguintes:</w:t>
      </w:r>
    </w:p>
    <w:p>
      <w:pPr>
        <w:keepNext/>
        <w:spacing w:after="160" w:before="240"/>
      </w:pPr>
      <w:r>
        <w:rPr>
          <w:rFonts w:ascii="Times New Roman" w:cs="Times New Roman" w:eastAsia="Times New Roman" w:hAnsi="Times New Roman"/>
          <w:b/>
          <w:bCs/>
          <w:sz w:val="24"/>
          <w:szCs w:val="24"/>
        </w:rPr>
        <w:t xml:space="preserve">CLÁUSULA PRIMEIRA – DO IMÓVEL E DA ORIGEM DOS DIREITOS</w:t>
      </w:r>
    </w:p>
    <w:p>
      <w:pPr>
        <w:spacing w:after="160" w:line="360"/>
        <w:ind w:firstLine="1134"/>
        <w:jc w:val="both"/>
      </w:pPr>
      <w:r>
        <w:rPr>
          <w:rFonts w:ascii="Times New Roman" w:cs="Times New Roman" w:eastAsia="Times New Roman" w:hAnsi="Times New Roman"/>
          <w:sz w:val="24"/>
          <w:szCs w:val="24"/>
        </w:rPr>
        <w:t xml:space="preserve">A VENDEDORA é legítima titular do </w:t>
      </w:r>
      <w:r>
        <w:rPr>
          <w:rFonts w:ascii="Times New Roman" w:cs="Times New Roman" w:eastAsia="Times New Roman" w:hAnsi="Times New Roman"/>
          <w:b/>
          <w:bCs/>
          <w:sz w:val="24"/>
          <w:szCs w:val="24"/>
        </w:rPr>
        <w:t xml:space="preserve">domínio útil</w:t>
      </w:r>
      <w:r>
        <w:rPr>
          <w:rFonts w:ascii="Times New Roman" w:cs="Times New Roman" w:eastAsia="Times New Roman" w:hAnsi="Times New Roman"/>
          <w:sz w:val="24"/>
          <w:szCs w:val="24"/>
        </w:rPr>
        <w:t xml:space="preserve"> e possuidora, a justo título, de um </w:t>
      </w:r>
      <w:r>
        <w:rPr>
          <w:rFonts w:ascii="Times New Roman" w:cs="Times New Roman" w:eastAsia="Times New Roman" w:hAnsi="Times New Roman"/>
          <w:b/>
          <w:bCs/>
          <w:sz w:val="24"/>
          <w:szCs w:val="24"/>
        </w:rPr>
        <w:t xml:space="preserve">lote de terreno foreiro municipal</w:t>
      </w:r>
      <w:r>
        <w:rPr>
          <w:rFonts w:ascii="Times New Roman" w:cs="Times New Roman" w:eastAsia="Times New Roman" w:hAnsi="Times New Roman"/>
          <w:sz w:val="24"/>
          <w:szCs w:val="24"/>
        </w:rPr>
        <w:t xml:space="preserve">, situado na </w:t>
      </w:r>
      <w:r>
        <w:rPr>
          <w:rFonts w:ascii="Times New Roman" w:cs="Times New Roman" w:eastAsia="Times New Roman" w:hAnsi="Times New Roman"/>
          <w:b/>
          <w:bCs/>
          <w:sz w:val="24"/>
          <w:szCs w:val="24"/>
        </w:rPr>
        <w:t xml:space="preserve">Rua 19 de Setembro, nº 888, zona urbana desta cidade de Miguel Alves/PI</w:t>
      </w:r>
      <w:r>
        <w:rPr>
          <w:rFonts w:ascii="Times New Roman" w:cs="Times New Roman" w:eastAsia="Times New Roman" w:hAnsi="Times New Roman"/>
          <w:sz w:val="24"/>
          <w:szCs w:val="24"/>
        </w:rPr>
        <w:t xml:space="preserve">, com área de </w:t>
      </w:r>
      <w:r>
        <w:rPr>
          <w:rFonts w:ascii="Times New Roman" w:cs="Times New Roman" w:eastAsia="Times New Roman" w:hAnsi="Times New Roman"/>
          <w:b/>
          <w:bCs/>
          <w:sz w:val="24"/>
          <w:szCs w:val="24"/>
        </w:rPr>
        <w:t xml:space="preserve">175 m² (cento e setenta e cinco metros quadrados)</w:t>
      </w:r>
      <w:r>
        <w:rPr>
          <w:rFonts w:ascii="Times New Roman" w:cs="Times New Roman" w:eastAsia="Times New Roman" w:hAnsi="Times New Roman"/>
          <w:sz w:val="24"/>
          <w:szCs w:val="24"/>
        </w:rPr>
        <w:t xml:space="preserve">, medindo </w:t>
      </w:r>
      <w:r>
        <w:rPr>
          <w:rFonts w:ascii="Times New Roman" w:cs="Times New Roman" w:eastAsia="Times New Roman" w:hAnsi="Times New Roman"/>
          <w:b/>
          <w:bCs/>
          <w:sz w:val="24"/>
          <w:szCs w:val="24"/>
        </w:rPr>
        <w:t xml:space="preserve">9,25 m</w:t>
      </w:r>
      <w:r>
        <w:rPr>
          <w:rFonts w:ascii="Times New Roman" w:cs="Times New Roman" w:eastAsia="Times New Roman" w:hAnsi="Times New Roman"/>
          <w:sz w:val="24"/>
          <w:szCs w:val="24"/>
        </w:rPr>
        <w:t xml:space="preserve"> (nove metros e vinte e cinco centímetros) de frente, limitando-se com a mesma rua; </w:t>
      </w:r>
      <w:r>
        <w:rPr>
          <w:rFonts w:ascii="Times New Roman" w:cs="Times New Roman" w:eastAsia="Times New Roman" w:hAnsi="Times New Roman"/>
          <w:b/>
          <w:bCs/>
          <w:sz w:val="24"/>
          <w:szCs w:val="24"/>
        </w:rPr>
        <w:t xml:space="preserve">18,90 m</w:t>
      </w:r>
      <w:r>
        <w:rPr>
          <w:rFonts w:ascii="Times New Roman" w:cs="Times New Roman" w:eastAsia="Times New Roman" w:hAnsi="Times New Roman"/>
          <w:sz w:val="24"/>
          <w:szCs w:val="24"/>
        </w:rPr>
        <w:t xml:space="preserve"> (dezoito metros e noventa centímetros) pelo flanco direito, limitando-se com Carlos Henrique Ferreira Lima; </w:t>
      </w:r>
      <w:r>
        <w:rPr>
          <w:rFonts w:ascii="Times New Roman" w:cs="Times New Roman" w:eastAsia="Times New Roman" w:hAnsi="Times New Roman"/>
          <w:b/>
          <w:bCs/>
          <w:sz w:val="24"/>
          <w:szCs w:val="24"/>
        </w:rPr>
        <w:t xml:space="preserve">20,30 m</w:t>
      </w:r>
      <w:r>
        <w:rPr>
          <w:rFonts w:ascii="Times New Roman" w:cs="Times New Roman" w:eastAsia="Times New Roman" w:hAnsi="Times New Roman"/>
          <w:sz w:val="24"/>
          <w:szCs w:val="24"/>
        </w:rPr>
        <w:t xml:space="preserve"> (vinte metros e trinta centímetros) pelo flanco esquerdo, limitando-se com Ferdinan Gonçalves; e </w:t>
      </w:r>
      <w:r>
        <w:rPr>
          <w:rFonts w:ascii="Times New Roman" w:cs="Times New Roman" w:eastAsia="Times New Roman" w:hAnsi="Times New Roman"/>
          <w:b/>
          <w:bCs/>
          <w:sz w:val="24"/>
          <w:szCs w:val="24"/>
        </w:rPr>
        <w:t xml:space="preserve">5,35 m</w:t>
      </w:r>
      <w:r>
        <w:rPr>
          <w:rFonts w:ascii="Times New Roman" w:cs="Times New Roman" w:eastAsia="Times New Roman" w:hAnsi="Times New Roman"/>
          <w:sz w:val="24"/>
          <w:szCs w:val="24"/>
        </w:rPr>
        <w:t xml:space="preserve"> (cinco metros e trinta e cinco centímetros) pelos fundos, limitando-se com Almir Medeiros de Melo.</w:t>
      </w:r>
    </w:p>
    <w:p>
      <w:pPr>
        <w:spacing w:after="160" w:line="360"/>
        <w:ind w:firstLine="1134"/>
        <w:jc w:val="both"/>
      </w:pPr>
      <w:r>
        <w:rPr>
          <w:rFonts w:ascii="Times New Roman" w:cs="Times New Roman" w:eastAsia="Times New Roman" w:hAnsi="Times New Roman"/>
          <w:b/>
          <w:bCs/>
          <w:sz w:val="24"/>
          <w:szCs w:val="24"/>
        </w:rPr>
        <w:t xml:space="preserve">Parágrafo primeiro.</w:t>
      </w:r>
      <w:r>
        <w:rPr>
          <w:rFonts w:ascii="Times New Roman" w:cs="Times New Roman" w:eastAsia="Times New Roman" w:hAnsi="Times New Roman"/>
          <w:sz w:val="24"/>
          <w:szCs w:val="24"/>
        </w:rPr>
        <w:t xml:space="preserve"> O domínio útil do terreno foi originalmente concedido pelo Município de Miguel Alves/PI a Maria do Espírito Santo Ferreira Lima, por meio do </w:t>
      </w:r>
      <w:r>
        <w:rPr>
          <w:rFonts w:ascii="Times New Roman" w:cs="Times New Roman" w:eastAsia="Times New Roman" w:hAnsi="Times New Roman"/>
          <w:b/>
          <w:bCs/>
          <w:sz w:val="24"/>
          <w:szCs w:val="24"/>
        </w:rPr>
        <w:t xml:space="preserve">Título de Aforamento nº 1.967</w:t>
      </w:r>
      <w:r>
        <w:rPr>
          <w:rFonts w:ascii="Times New Roman" w:cs="Times New Roman" w:eastAsia="Times New Roman" w:hAnsi="Times New Roman"/>
          <w:sz w:val="24"/>
          <w:szCs w:val="24"/>
        </w:rPr>
        <w:t xml:space="preserve">, de 15 de agosto de 1991, lavrado às fls. 15 do Livro nº 18, nos autos do processo administrativo nº 1.967/1991 e conforme o Edital nº 71/91.</w:t>
      </w:r>
    </w:p>
    <w:p>
      <w:pPr>
        <w:spacing w:after="160" w:line="360"/>
        <w:ind w:firstLine="1134"/>
        <w:jc w:val="both"/>
      </w:pPr>
      <w:r>
        <w:rPr>
          <w:rFonts w:ascii="Times New Roman" w:cs="Times New Roman" w:eastAsia="Times New Roman" w:hAnsi="Times New Roman"/>
          <w:b/>
          <w:bCs/>
          <w:sz w:val="24"/>
          <w:szCs w:val="24"/>
        </w:rPr>
        <w:t xml:space="preserve">Parágrafo segundo.</w:t>
      </w:r>
      <w:r>
        <w:rPr>
          <w:rFonts w:ascii="Times New Roman" w:cs="Times New Roman" w:eastAsia="Times New Roman" w:hAnsi="Times New Roman"/>
          <w:sz w:val="24"/>
          <w:szCs w:val="24"/>
        </w:rPr>
        <w:t xml:space="preserve"> A VENDEDORA adquiriu o referido domínio útil de Maria do Espírito Santo Ferreira Lima e seu marido, Francisco Vieira da Silva, por meio de Escritura Particular de Compra e Venda datada de 16 de setembro de 2009, registrada sob o nº 57, às fls. 79-v, do Livro nº 04 de Títulos e Documentos do Cartório do Registro Público da Comarca de Miguel Alves/PI.</w:t>
      </w:r>
    </w:p>
    <w:p>
      <w:pPr>
        <w:spacing w:after="160" w:line="360"/>
        <w:ind w:firstLine="1134"/>
        <w:jc w:val="both"/>
      </w:pPr>
      <w:r>
        <w:rPr>
          <w:rFonts w:ascii="Times New Roman" w:cs="Times New Roman" w:eastAsia="Times New Roman" w:hAnsi="Times New Roman"/>
          <w:b/>
          <w:bCs/>
          <w:sz w:val="24"/>
          <w:szCs w:val="24"/>
        </w:rPr>
        <w:t xml:space="preserve">Parágrafo terceiro.</w:t>
      </w:r>
      <w:r>
        <w:rPr>
          <w:rFonts w:ascii="Times New Roman" w:cs="Times New Roman" w:eastAsia="Times New Roman" w:hAnsi="Times New Roman"/>
          <w:sz w:val="24"/>
          <w:szCs w:val="24"/>
        </w:rPr>
        <w:t xml:space="preserve"> A VENDEDORA declara que o imóvel se encontra livre e desembaraçado de quaisquer ônus, dívidas, penhoras, ações reais ou pessoais reipersecutórias e tributos em atraso, inclusive foros anuais, e que sobre ele não pesa qualquer litígio ou oposição de terceiros, obrigando-se a responder pela evicção de direito (arts. 447 e seguintes do Código Civil).</w:t>
      </w:r>
    </w:p>
    <w:p>
      <w:pPr>
        <w:keepNext/>
        <w:spacing w:after="160" w:before="240"/>
      </w:pPr>
      <w:r>
        <w:rPr>
          <w:rFonts w:ascii="Times New Roman" w:cs="Times New Roman" w:eastAsia="Times New Roman" w:hAnsi="Times New Roman"/>
          <w:b/>
          <w:bCs/>
          <w:sz w:val="24"/>
          <w:szCs w:val="24"/>
        </w:rPr>
        <w:t xml:space="preserve">CLÁUSULA SEGUNDA – DO OBJETO</w:t>
      </w:r>
    </w:p>
    <w:p>
      <w:pPr>
        <w:spacing w:after="160" w:line="360"/>
        <w:ind w:firstLine="1134"/>
        <w:jc w:val="both"/>
      </w:pPr>
      <w:r>
        <w:rPr>
          <w:rFonts w:ascii="Times New Roman" w:cs="Times New Roman" w:eastAsia="Times New Roman" w:hAnsi="Times New Roman"/>
          <w:sz w:val="24"/>
          <w:szCs w:val="24"/>
        </w:rPr>
        <w:t xml:space="preserve">Pelo presente instrumento e na melhor forma de direito, a VENDEDORA vende ao COMPRADOR, como de fato vendido tem, o domínio útil do imóvel descrito na Cláusula Primeira, com todas as suas benfeitorias, transmitindo-lhe desde já todo o direito, posse, ação e servidão, ativa e passiva, que exercia sobre o imóvel, para que dele o COMPRADOR use, goze e disponha livremente, como seu que fica sendo, obrigando-se a VENDEDORA a fazer esta venda sempre boa, firme e valiosa, por si, seus herdeiros e sucessores.</w:t>
      </w:r>
    </w:p>
    <w:p>
      <w:pPr>
        <w:keepNext/>
        <w:spacing w:after="160" w:before="240"/>
      </w:pPr>
      <w:r>
        <w:rPr>
          <w:rFonts w:ascii="Times New Roman" w:cs="Times New Roman" w:eastAsia="Times New Roman" w:hAnsi="Times New Roman"/>
          <w:b/>
          <w:bCs/>
          <w:sz w:val="24"/>
          <w:szCs w:val="24"/>
        </w:rPr>
        <w:t xml:space="preserve">CLÁUSULA TERCEIRA – DO PREÇO E DA QUITAÇÃO</w:t>
      </w:r>
    </w:p>
    <w:p>
      <w:pPr>
        <w:spacing w:after="160" w:line="360"/>
        <w:ind w:firstLine="1134"/>
        <w:jc w:val="both"/>
      </w:pPr>
      <w:r>
        <w:rPr>
          <w:rFonts w:ascii="Times New Roman" w:cs="Times New Roman" w:eastAsia="Times New Roman" w:hAnsi="Times New Roman"/>
          <w:sz w:val="24"/>
          <w:szCs w:val="24"/>
        </w:rPr>
        <w:t xml:space="preserve">O preço certo e ajustado é de </w:t>
      </w:r>
      <w:r>
        <w:rPr>
          <w:rFonts w:ascii="Times New Roman" w:cs="Times New Roman" w:eastAsia="Times New Roman" w:hAnsi="Times New Roman"/>
          <w:b/>
          <w:bCs/>
          <w:sz w:val="24"/>
          <w:szCs w:val="24"/>
        </w:rPr>
        <w:t xml:space="preserve">R$ 100.000,00 (cem mil reais)</w:t>
      </w:r>
      <w:r>
        <w:rPr>
          <w:rFonts w:ascii="Times New Roman" w:cs="Times New Roman" w:eastAsia="Times New Roman" w:hAnsi="Times New Roman"/>
          <w:sz w:val="24"/>
          <w:szCs w:val="24"/>
        </w:rPr>
        <w:t xml:space="preserve">, pago neste ato pelo COMPRADOR à VENDEDORA, </w:t>
      </w:r>
      <w:r>
        <w:rPr>
          <w:rFonts w:ascii="Times New Roman" w:cs="Times New Roman" w:eastAsia="Times New Roman" w:hAnsi="Times New Roman"/>
          <w:b/>
          <w:bCs/>
          <w:sz w:val="24"/>
          <w:szCs w:val="24"/>
        </w:rPr>
        <w:t xml:space="preserve">integralmente, em moeda corrente nacional (espécie)</w:t>
      </w:r>
      <w:r>
        <w:rPr>
          <w:rFonts w:ascii="Times New Roman" w:cs="Times New Roman" w:eastAsia="Times New Roman" w:hAnsi="Times New Roman"/>
          <w:sz w:val="24"/>
          <w:szCs w:val="24"/>
        </w:rPr>
        <w:t xml:space="preserve">, que a VENDEDORA declara ter recebido, contado e achado conforme.</w:t>
      </w:r>
    </w:p>
    <w:p>
      <w:pPr>
        <w:spacing w:after="160" w:line="360"/>
        <w:ind w:firstLine="1134"/>
        <w:jc w:val="both"/>
      </w:pPr>
      <w:r>
        <w:rPr>
          <w:rFonts w:ascii="Times New Roman" w:cs="Times New Roman" w:eastAsia="Times New Roman" w:hAnsi="Times New Roman"/>
          <w:b/>
          <w:bCs/>
          <w:sz w:val="24"/>
          <w:szCs w:val="24"/>
        </w:rPr>
        <w:t xml:space="preserve">Parágrafo único.</w:t>
      </w:r>
      <w:r>
        <w:rPr>
          <w:rFonts w:ascii="Times New Roman" w:cs="Times New Roman" w:eastAsia="Times New Roman" w:hAnsi="Times New Roman"/>
          <w:sz w:val="24"/>
          <w:szCs w:val="24"/>
        </w:rPr>
        <w:t xml:space="preserve"> Em razão do recebimento integral do preço, a VENDEDORA dá ao COMPRADOR plena, geral, rasa e irrevogável quitação, para nada mais reclamar a esse título, em juízo ou fora dele, servindo o presente instrumento como recibo.</w:t>
      </w:r>
    </w:p>
    <w:p>
      <w:pPr>
        <w:keepNext/>
        <w:spacing w:after="160" w:before="240"/>
      </w:pPr>
      <w:r>
        <w:rPr>
          <w:rFonts w:ascii="Times New Roman" w:cs="Times New Roman" w:eastAsia="Times New Roman" w:hAnsi="Times New Roman"/>
          <w:b/>
          <w:bCs/>
          <w:sz w:val="24"/>
          <w:szCs w:val="24"/>
        </w:rPr>
        <w:t xml:space="preserve">CLÁUSULA QUARTA – DA POSSE</w:t>
      </w:r>
    </w:p>
    <w:p>
      <w:pPr>
        <w:spacing w:after="160" w:line="360"/>
        <w:ind w:firstLine="1134"/>
        <w:jc w:val="both"/>
      </w:pPr>
      <w:r>
        <w:rPr>
          <w:rFonts w:ascii="Times New Roman" w:cs="Times New Roman" w:eastAsia="Times New Roman" w:hAnsi="Times New Roman"/>
          <w:sz w:val="24"/>
          <w:szCs w:val="24"/>
        </w:rPr>
        <w:t xml:space="preserve">A posse direta e indireta do imóvel é transmitida ao COMPRADOR nesta data, livre de pessoas e coisas, por força deste instrumento e da cláusula constituti, podendo o COMPRADOR dele usar, gozar e dispor livremente, inclusive edificar e realizar benfeitorias, observadas a legislação municipal e a necessidade de prévia licença da Prefeitura para construções.</w:t>
      </w:r>
    </w:p>
    <w:p>
      <w:pPr>
        <w:keepNext/>
        <w:spacing w:after="160" w:before="240"/>
      </w:pPr>
      <w:r>
        <w:rPr>
          <w:rFonts w:ascii="Times New Roman" w:cs="Times New Roman" w:eastAsia="Times New Roman" w:hAnsi="Times New Roman"/>
          <w:b/>
          <w:bCs/>
          <w:sz w:val="24"/>
          <w:szCs w:val="24"/>
        </w:rPr>
        <w:t xml:space="preserve">CLÁUSULA QUINTA – DO REGIME ENFITÊUTICO, DA PREFERÊNCIA DO MUNICÍPIO E DO LAUDÊMIO</w:t>
      </w:r>
    </w:p>
    <w:p>
      <w:pPr>
        <w:spacing w:after="160" w:line="360"/>
        <w:ind w:firstLine="1134"/>
        <w:jc w:val="both"/>
      </w:pPr>
      <w:r>
        <w:rPr>
          <w:rFonts w:ascii="Times New Roman" w:cs="Times New Roman" w:eastAsia="Times New Roman" w:hAnsi="Times New Roman"/>
          <w:sz w:val="24"/>
          <w:szCs w:val="24"/>
        </w:rPr>
        <w:t xml:space="preserve">As partes declaram ciência de que o imóvel é terreno foreiro do Município de Miguel Alves/PI, sujeito ao regime da enfiteuse, que continua regido pelo Código Civil de 1916 e pela legislação municipal (art. 2.038 do Código Civil de 2002), bem como às condições do Título de Aforamento.</w:t>
      </w:r>
    </w:p>
    <w:p>
      <w:pPr>
        <w:spacing w:after="160" w:line="360"/>
        <w:ind w:firstLine="1134"/>
        <w:jc w:val="both"/>
      </w:pPr>
      <w:r>
        <w:rPr>
          <w:rFonts w:ascii="Times New Roman" w:cs="Times New Roman" w:eastAsia="Times New Roman" w:hAnsi="Times New Roman"/>
          <w:b/>
          <w:bCs/>
          <w:sz w:val="24"/>
          <w:szCs w:val="24"/>
        </w:rPr>
        <w:t xml:space="preserve">Parágrafo primeiro.</w:t>
      </w:r>
      <w:r>
        <w:rPr>
          <w:rFonts w:ascii="Times New Roman" w:cs="Times New Roman" w:eastAsia="Times New Roman" w:hAnsi="Times New Roman"/>
          <w:sz w:val="24"/>
          <w:szCs w:val="24"/>
        </w:rPr>
        <w:t xml:space="preserve"> A VENDEDORA obriga-se a, no prazo de 15 (quinze) dias contados desta data, notificar por escrito o Município de Miguel Alves/PI, na qualidade de senhorio direto, desta alienação, para que exerça, querendo, o direito de preferência no prazo de 30 (trinta) dias (art. 683 do Código Civil de 1916), e a requerer a anuência da Prefeitura à transferência e a averbação do COMPRADOR como novo foreiro no cadastro municipal de aforamentos, entregando ao COMPRADOR cópia protocolada do requerimento.</w:t>
      </w:r>
    </w:p>
    <w:p>
      <w:pPr>
        <w:spacing w:after="160" w:line="360"/>
        <w:ind w:firstLine="1134"/>
        <w:jc w:val="both"/>
      </w:pPr>
      <w:r>
        <w:rPr>
          <w:rFonts w:ascii="Times New Roman" w:cs="Times New Roman" w:eastAsia="Times New Roman" w:hAnsi="Times New Roman"/>
          <w:b/>
          <w:bCs/>
          <w:sz w:val="24"/>
          <w:szCs w:val="24"/>
        </w:rPr>
        <w:t xml:space="preserve">Parágrafo segundo.</w:t>
      </w:r>
      <w:r>
        <w:rPr>
          <w:rFonts w:ascii="Times New Roman" w:cs="Times New Roman" w:eastAsia="Times New Roman" w:hAnsi="Times New Roman"/>
          <w:sz w:val="24"/>
          <w:szCs w:val="24"/>
        </w:rPr>
        <w:t xml:space="preserve"> O laudêmio devido ao Município, fixado no Título de Aforamento em 2% (dois por cento) sobre o valor da alienação, será pago pela VENDEDORA, na forma do art. 686 do Código Civil de 1916.</w:t>
      </w:r>
    </w:p>
    <w:p>
      <w:pPr>
        <w:spacing w:after="160" w:line="360"/>
        <w:ind w:firstLine="1134"/>
        <w:jc w:val="both"/>
      </w:pPr>
      <w:r>
        <w:rPr>
          <w:rFonts w:ascii="Times New Roman" w:cs="Times New Roman" w:eastAsia="Times New Roman" w:hAnsi="Times New Roman"/>
          <w:b/>
          <w:bCs/>
          <w:sz w:val="24"/>
          <w:szCs w:val="24"/>
        </w:rPr>
        <w:t xml:space="preserve">Parágrafo terceiro.</w:t>
      </w:r>
      <w:r>
        <w:rPr>
          <w:rFonts w:ascii="Times New Roman" w:cs="Times New Roman" w:eastAsia="Times New Roman" w:hAnsi="Times New Roman"/>
          <w:sz w:val="24"/>
          <w:szCs w:val="24"/>
        </w:rPr>
        <w:t xml:space="preserve"> Caso o Município exerça o direito de preferência, o presente contrato ficará resolvido de pleno direito, obrigando-se a VENDEDORA a restituir ao COMPRADOR, no prazo de 10 (dez) dias, a totalidade do preço recebido, corrigido monetariamente pelo IPCA/IBGE, acrescido do valor das benfeitorias e despesas comprovadamente realizadas, sem prejuízo das perdas e danos.</w:t>
      </w:r>
    </w:p>
    <w:p>
      <w:pPr>
        <w:spacing w:after="160" w:line="360"/>
        <w:ind w:firstLine="1134"/>
        <w:jc w:val="both"/>
      </w:pPr>
      <w:r>
        <w:rPr>
          <w:rFonts w:ascii="Times New Roman" w:cs="Times New Roman" w:eastAsia="Times New Roman" w:hAnsi="Times New Roman"/>
          <w:b/>
          <w:bCs/>
          <w:sz w:val="24"/>
          <w:szCs w:val="24"/>
        </w:rPr>
        <w:t xml:space="preserve">Parágrafo quarto.</w:t>
      </w:r>
      <w:r>
        <w:rPr>
          <w:rFonts w:ascii="Times New Roman" w:cs="Times New Roman" w:eastAsia="Times New Roman" w:hAnsi="Times New Roman"/>
          <w:sz w:val="24"/>
          <w:szCs w:val="24"/>
        </w:rPr>
        <w:t xml:space="preserve"> A partir desta data, correrão por conta do COMPRADOR o foro anual, o IPTU e as demais taxas e contribuições incidentes sobre o imóvel. Os valores vencidos até esta data, ainda que lançados ou cobrados posteriormente, são de responsabilidade exclusiva da VENDEDORA.</w:t>
      </w:r>
    </w:p>
    <w:p>
      <w:pPr>
        <w:keepNext/>
        <w:spacing w:after="160" w:before="240"/>
      </w:pPr>
      <w:r>
        <w:rPr>
          <w:rFonts w:ascii="Times New Roman" w:cs="Times New Roman" w:eastAsia="Times New Roman" w:hAnsi="Times New Roman"/>
          <w:b/>
          <w:bCs/>
          <w:sz w:val="24"/>
          <w:szCs w:val="24"/>
        </w:rPr>
        <w:t xml:space="preserve">CLÁUSULA SEXTA – DA ESCRITURA PÚBLICA E DA REGULARIZAÇÃO</w:t>
      </w:r>
    </w:p>
    <w:p>
      <w:pPr>
        <w:spacing w:after="160" w:line="360"/>
        <w:ind w:firstLine="1134"/>
        <w:jc w:val="both"/>
      </w:pPr>
      <w:r>
        <w:rPr>
          <w:rFonts w:ascii="Times New Roman" w:cs="Times New Roman" w:eastAsia="Times New Roman" w:hAnsi="Times New Roman"/>
          <w:sz w:val="24"/>
          <w:szCs w:val="24"/>
        </w:rPr>
        <w:t xml:space="preserve">A VENDEDORA obriga-se a, sempre que solicitada pelo COMPRADOR, no prazo de 15 (quinze) dias contados da notificação para tanto, comparecer ao Tabelionato por ele indicado para ratificar esta venda por escritura pública, caso exigida para fins de registro (art. 108 do Código Civil), bem como a assinar todos os requerimentos e documentos necessários à transferência do aforamento, à abertura de matrícula e ao registro do imóvel em nome do COMPRADOR.</w:t>
      </w:r>
    </w:p>
    <w:p>
      <w:pPr>
        <w:spacing w:after="160" w:line="360"/>
        <w:ind w:firstLine="1134"/>
        <w:jc w:val="both"/>
      </w:pPr>
      <w:r>
        <w:rPr>
          <w:rFonts w:ascii="Times New Roman" w:cs="Times New Roman" w:eastAsia="Times New Roman" w:hAnsi="Times New Roman"/>
          <w:b/>
          <w:bCs/>
          <w:sz w:val="24"/>
          <w:szCs w:val="24"/>
        </w:rPr>
        <w:t xml:space="preserve">Parágrafo primeiro.</w:t>
      </w:r>
      <w:r>
        <w:rPr>
          <w:rFonts w:ascii="Times New Roman" w:cs="Times New Roman" w:eastAsia="Times New Roman" w:hAnsi="Times New Roman"/>
          <w:sz w:val="24"/>
          <w:szCs w:val="24"/>
        </w:rPr>
        <w:t xml:space="preserve"> A VENDEDORA obriga-se a entregar ao COMPRADOR, nesta data, os originais do Título de Aforamento nº 1.967 e da Escritura Particular de Compra e Venda de 16/09/2009, bem como a fornecer, sempre que solicitadas, as certidões pessoais e fiscais necessárias.</w:t>
      </w:r>
    </w:p>
    <w:p>
      <w:pPr>
        <w:spacing w:after="160" w:line="360"/>
        <w:ind w:firstLine="1134"/>
        <w:jc w:val="both"/>
      </w:pPr>
      <w:r>
        <w:rPr>
          <w:rFonts w:ascii="Times New Roman" w:cs="Times New Roman" w:eastAsia="Times New Roman" w:hAnsi="Times New Roman"/>
          <w:b/>
          <w:bCs/>
          <w:sz w:val="24"/>
          <w:szCs w:val="24"/>
        </w:rPr>
        <w:t xml:space="preserve">Parágrafo segundo.</w:t>
      </w:r>
      <w:r>
        <w:rPr>
          <w:rFonts w:ascii="Times New Roman" w:cs="Times New Roman" w:eastAsia="Times New Roman" w:hAnsi="Times New Roman"/>
          <w:sz w:val="24"/>
          <w:szCs w:val="24"/>
        </w:rPr>
        <w:t xml:space="preserve"> Ficam a cargo do COMPRADOR as despesas com a lavratura da escritura pública, o Imposto sobre a Transmissão de Bens Imóveis (ITBI) e os emolumentos de registro, ressalvado o disposto no Parágrafo segundo da Cláusula Quinta.</w:t>
      </w:r>
    </w:p>
    <w:p>
      <w:pPr>
        <w:spacing w:after="160" w:line="360"/>
        <w:ind w:firstLine="1134"/>
        <w:jc w:val="both"/>
      </w:pPr>
      <w:r>
        <w:rPr>
          <w:rFonts w:ascii="Times New Roman" w:cs="Times New Roman" w:eastAsia="Times New Roman" w:hAnsi="Times New Roman"/>
          <w:b/>
          <w:bCs/>
          <w:sz w:val="24"/>
          <w:szCs w:val="24"/>
        </w:rPr>
        <w:t xml:space="preserve">Parágrafo terceiro.</w:t>
      </w:r>
      <w:r>
        <w:rPr>
          <w:rFonts w:ascii="Times New Roman" w:cs="Times New Roman" w:eastAsia="Times New Roman" w:hAnsi="Times New Roman"/>
          <w:sz w:val="24"/>
          <w:szCs w:val="24"/>
        </w:rPr>
        <w:t xml:space="preserve"> Recusando-se a VENDEDORA a outorgar a escritura, ou estando impossibilitada de fazê-lo, o COMPRADOR poderá promover a adjudicação compulsória, judicial ou extrajudicial (arts. 1.417 e 1.418 do Código Civil e art. 216-B da Lei nº 6.015/1973), ou a ação de execução específica de obrigação de fazer (arts. 463 e 464 do Código Civil e art. 501 do Código de Processo Civil), valendo a sentença como título para a transferência.</w:t>
      </w:r>
    </w:p>
    <w:p>
      <w:pPr>
        <w:keepNext/>
        <w:spacing w:after="160" w:before="240"/>
      </w:pPr>
      <w:r>
        <w:rPr>
          <w:rFonts w:ascii="Times New Roman" w:cs="Times New Roman" w:eastAsia="Times New Roman" w:hAnsi="Times New Roman"/>
          <w:b/>
          <w:bCs/>
          <w:sz w:val="24"/>
          <w:szCs w:val="24"/>
        </w:rPr>
        <w:t xml:space="preserve">CLÁUSULA SÉTIMA – DA IRREVOGABILIDADE E DA IRRETRATABILIDADE</w:t>
      </w:r>
    </w:p>
    <w:p>
      <w:pPr>
        <w:spacing w:after="160" w:line="360"/>
        <w:ind w:firstLine="1134"/>
        <w:jc w:val="both"/>
      </w:pPr>
      <w:r>
        <w:rPr>
          <w:rFonts w:ascii="Times New Roman" w:cs="Times New Roman" w:eastAsia="Times New Roman" w:hAnsi="Times New Roman"/>
          <w:sz w:val="24"/>
          <w:szCs w:val="24"/>
        </w:rPr>
        <w:t xml:space="preserve">O presente contrato é celebrado em caráter irrevogável e irretratável, não se admitindo arrependimento, obrigando as partes, seus herdeiros e sucessores, a qualquer título.</w:t>
      </w:r>
    </w:p>
    <w:p>
      <w:pPr>
        <w:keepNext/>
        <w:spacing w:after="160" w:before="240"/>
      </w:pPr>
      <w:r>
        <w:rPr>
          <w:rFonts w:ascii="Times New Roman" w:cs="Times New Roman" w:eastAsia="Times New Roman" w:hAnsi="Times New Roman"/>
          <w:b/>
          <w:bCs/>
          <w:sz w:val="24"/>
          <w:szCs w:val="24"/>
        </w:rPr>
        <w:t xml:space="preserve">CLÁUSULA OITAVA – DO INADIMPLEMENTO</w:t>
      </w:r>
    </w:p>
    <w:p>
      <w:pPr>
        <w:spacing w:after="160" w:line="360"/>
        <w:ind w:firstLine="1134"/>
        <w:jc w:val="both"/>
      </w:pPr>
      <w:r>
        <w:rPr>
          <w:rFonts w:ascii="Times New Roman" w:cs="Times New Roman" w:eastAsia="Times New Roman" w:hAnsi="Times New Roman"/>
          <w:sz w:val="24"/>
          <w:szCs w:val="24"/>
        </w:rPr>
        <w:t xml:space="preserve">O descumprimento, pela VENDEDORA, de qualquer obrigação prevista neste contrato, em especial as das Cláusulas Quinta e Sexta, sujeitá-la-á ao pagamento de multa compensatória equivalente a 10% (dez por cento) do preço, corrigido monetariamente, sem prejuízo do cumprimento específico da obrigação e da indenização suplementar por perdas e danos (art. 416, parágrafo único, do Código Civil).</w:t>
      </w:r>
    </w:p>
    <w:p>
      <w:pPr>
        <w:keepNext/>
        <w:spacing w:after="160" w:before="240"/>
      </w:pPr>
      <w:r>
        <w:rPr>
          <w:rFonts w:ascii="Times New Roman" w:cs="Times New Roman" w:eastAsia="Times New Roman" w:hAnsi="Times New Roman"/>
          <w:b/>
          <w:bCs/>
          <w:sz w:val="24"/>
          <w:szCs w:val="24"/>
        </w:rPr>
        <w:t xml:space="preserve">CLÁUSULA NONA – DA VISTORIA E DA VENDA AD CORPUS</w:t>
      </w:r>
    </w:p>
    <w:p>
      <w:pPr>
        <w:spacing w:after="160" w:line="360"/>
        <w:ind w:firstLine="1134"/>
        <w:jc w:val="both"/>
      </w:pPr>
      <w:r>
        <w:rPr>
          <w:rFonts w:ascii="Times New Roman" w:cs="Times New Roman" w:eastAsia="Times New Roman" w:hAnsi="Times New Roman"/>
          <w:sz w:val="24"/>
          <w:szCs w:val="24"/>
        </w:rPr>
        <w:t xml:space="preserve">O COMPRADOR declara ter vistoriado o imóvel e o aceita no estado em que se encontra. A venda é realizada ad corpus, como coisa certa e discriminada, sendo meramente enunciativa a referência às suas dimensões (art. 500, § 3º, do Código Civil).</w:t>
      </w:r>
    </w:p>
    <w:p>
      <w:pPr>
        <w:keepNext/>
        <w:spacing w:after="160" w:before="240"/>
      </w:pPr>
      <w:r>
        <w:rPr>
          <w:rFonts w:ascii="Times New Roman" w:cs="Times New Roman" w:eastAsia="Times New Roman" w:hAnsi="Times New Roman"/>
          <w:b/>
          <w:bCs/>
          <w:sz w:val="24"/>
          <w:szCs w:val="24"/>
        </w:rPr>
        <w:t xml:space="preserve">CLÁUSULA DÉCIMA – DO FORO</w:t>
      </w:r>
    </w:p>
    <w:p>
      <w:pPr>
        <w:spacing w:after="160" w:line="360"/>
        <w:ind w:firstLine="1134"/>
        <w:jc w:val="both"/>
      </w:pPr>
      <w:r>
        <w:rPr>
          <w:rFonts w:ascii="Times New Roman" w:cs="Times New Roman" w:eastAsia="Times New Roman" w:hAnsi="Times New Roman"/>
          <w:sz w:val="24"/>
          <w:szCs w:val="24"/>
        </w:rPr>
        <w:t xml:space="preserve">Fica eleito o foro da Comarca de Miguel Alves, Estado do Piauí, para dirimir quaisquer controvérsias oriundas deste contrato, com renúncia de qualquer outro, por mais privilegiado que seja.</w:t>
      </w:r>
    </w:p>
    <w:p>
      <w:pPr>
        <w:spacing w:after="160" w:line="360"/>
        <w:ind w:firstLine="1134"/>
        <w:jc w:val="both"/>
      </w:pPr>
      <w:r>
        <w:rPr>
          <w:rFonts w:ascii="Times New Roman" w:cs="Times New Roman" w:eastAsia="Times New Roman" w:hAnsi="Times New Roman"/>
          <w:sz w:val="24"/>
          <w:szCs w:val="24"/>
        </w:rPr>
        <w:t xml:space="preserve">E, por estarem justos e contratados, assinam o presente instrumento em 2 (duas) vias de igual teor e forma, na presença das testemunhas abaixo, com firmas reconhecidas, para que produza seus jurídicos e legais efeitos.</w:t>
      </w:r>
    </w:p>
    <w:p/>
    <w:p>
      <w:pPr>
        <w:spacing w:after="0"/>
        <w:jc w:val="center"/>
      </w:pPr>
      <w:r>
        <w:rPr>
          <w:rFonts w:ascii="Times New Roman" w:cs="Times New Roman" w:eastAsia="Times New Roman" w:hAnsi="Times New Roman"/>
          <w:sz w:val="24"/>
          <w:szCs w:val="24"/>
        </w:rPr>
        <w:t xml:space="preserve">Miguel Alves/PI, 07 de outubro de 2026.</w:t>
      </w:r>
    </w:p>
    <w:p/>
    <w:p/>
    <w:p>
      <w:pPr>
        <w:spacing w:after="0"/>
        <w:jc w:val="center"/>
      </w:pPr>
      <w:r>
        <w:rPr>
          <w:rFonts w:ascii="Times New Roman" w:cs="Times New Roman" w:eastAsia="Times New Roman" w:hAnsi="Times New Roman"/>
          <w:sz w:val="24"/>
          <w:szCs w:val="24"/>
        </w:rPr>
        <w:t xml:space="preserve">_______________________________________________</w:t>
      </w:r>
    </w:p>
    <w:p>
      <w:pPr>
        <w:spacing w:after="0"/>
        <w:jc w:val="center"/>
      </w:pPr>
      <w:r>
        <w:rPr>
          <w:rFonts w:ascii="Times New Roman" w:cs="Times New Roman" w:eastAsia="Times New Roman" w:hAnsi="Times New Roman"/>
          <w:b/>
          <w:bCs/>
          <w:sz w:val="24"/>
          <w:szCs w:val="24"/>
        </w:rPr>
        <w:t xml:space="preserve">VENDEDORA</w:t>
      </w:r>
    </w:p>
    <w:p>
      <w:pPr>
        <w:spacing w:after="0"/>
        <w:jc w:val="center"/>
      </w:pPr>
      <w:r>
        <w:rPr>
          <w:rFonts w:ascii="Times New Roman" w:cs="Times New Roman" w:eastAsia="Times New Roman" w:hAnsi="Times New Roman"/>
          <w:sz w:val="24"/>
          <w:szCs w:val="24"/>
        </w:rPr>
        <w:t xml:space="preserve">FRANCISCA FERREIRA DOS SANTOS</w:t>
      </w:r>
    </w:p>
    <w:p>
      <w:pPr>
        <w:spacing w:after="0"/>
        <w:jc w:val="center"/>
      </w:pPr>
      <w:r>
        <w:rPr>
          <w:rFonts w:ascii="Times New Roman" w:cs="Times New Roman" w:eastAsia="Times New Roman" w:hAnsi="Times New Roman"/>
          <w:sz w:val="24"/>
          <w:szCs w:val="24"/>
        </w:rPr>
        <w:t xml:space="preserve">CPF: 895.416.693-87</w:t>
      </w:r>
    </w:p>
    <w:p/>
    <w:p/>
    <w:p>
      <w:pPr>
        <w:spacing w:after="0"/>
        <w:jc w:val="center"/>
      </w:pPr>
      <w:r>
        <w:rPr>
          <w:rFonts w:ascii="Times New Roman" w:cs="Times New Roman" w:eastAsia="Times New Roman" w:hAnsi="Times New Roman"/>
          <w:sz w:val="24"/>
          <w:szCs w:val="24"/>
        </w:rPr>
        <w:t xml:space="preserve">_______________________________________________</w:t>
      </w:r>
    </w:p>
    <w:p>
      <w:pPr>
        <w:spacing w:after="0"/>
        <w:jc w:val="center"/>
      </w:pPr>
      <w:r>
        <w:rPr>
          <w:rFonts w:ascii="Times New Roman" w:cs="Times New Roman" w:eastAsia="Times New Roman" w:hAnsi="Times New Roman"/>
          <w:b/>
          <w:bCs/>
          <w:sz w:val="24"/>
          <w:szCs w:val="24"/>
        </w:rPr>
        <w:t xml:space="preserve">COMPRADOR</w:t>
      </w:r>
    </w:p>
    <w:p>
      <w:pPr>
        <w:spacing w:after="0"/>
        <w:jc w:val="center"/>
      </w:pPr>
      <w:r>
        <w:rPr>
          <w:rFonts w:ascii="Times New Roman" w:cs="Times New Roman" w:eastAsia="Times New Roman" w:hAnsi="Times New Roman"/>
          <w:sz w:val="24"/>
          <w:szCs w:val="24"/>
        </w:rPr>
        <w:t xml:space="preserve">MATHEUS ROCHA SILVA</w:t>
      </w:r>
    </w:p>
    <w:p>
      <w:pPr>
        <w:spacing w:after="0"/>
        <w:jc w:val="center"/>
      </w:pPr>
      <w:r>
        <w:rPr>
          <w:rFonts w:ascii="Times New Roman" w:cs="Times New Roman" w:eastAsia="Times New Roman" w:hAnsi="Times New Roman"/>
          <w:sz w:val="24"/>
          <w:szCs w:val="24"/>
        </w:rPr>
        <w:t xml:space="preserve">CPF: 063.710.933-39</w:t>
      </w:r>
    </w:p>
    <w:p/>
    <w:p>
      <w:pPr>
        <w:spacing w:after="160" w:line="360"/>
        <w:jc w:val="both"/>
      </w:pPr>
      <w:r>
        <w:rPr>
          <w:rFonts w:ascii="Times New Roman" w:cs="Times New Roman" w:eastAsia="Times New Roman" w:hAnsi="Times New Roman"/>
          <w:b/>
          <w:bCs/>
          <w:sz w:val="24"/>
          <w:szCs w:val="24"/>
        </w:rPr>
        <w:t xml:space="preserve">TESTEMUNHAS:</w:t>
      </w:r>
    </w:p>
    <w:p/>
    <w:p/>
    <w:p>
      <w:pPr>
        <w:spacing w:after="0"/>
        <w:jc w:val="center"/>
      </w:pPr>
      <w:r>
        <w:rPr>
          <w:rFonts w:ascii="Times New Roman" w:cs="Times New Roman" w:eastAsia="Times New Roman" w:hAnsi="Times New Roman"/>
          <w:sz w:val="24"/>
          <w:szCs w:val="24"/>
        </w:rPr>
        <w:t xml:space="preserve">_______________________________________________</w:t>
      </w:r>
    </w:p>
    <w:p>
      <w:pPr>
        <w:spacing w:after="0"/>
        <w:jc w:val="center"/>
      </w:pPr>
      <w:r>
        <w:rPr>
          <w:rFonts w:ascii="Times New Roman" w:cs="Times New Roman" w:eastAsia="Times New Roman" w:hAnsi="Times New Roman"/>
          <w:b/>
          <w:bCs/>
          <w:sz w:val="24"/>
          <w:szCs w:val="24"/>
        </w:rPr>
        <w:t xml:space="preserve">Testemunha 1</w:t>
      </w:r>
    </w:p>
    <w:p>
      <w:pPr>
        <w:spacing w:after="0"/>
        <w:jc w:val="center"/>
      </w:pPr>
      <w:r>
        <w:rPr>
          <w:rFonts w:ascii="Times New Roman" w:cs="Times New Roman" w:eastAsia="Times New Roman" w:hAnsi="Times New Roman"/>
          <w:sz w:val="24"/>
          <w:szCs w:val="24"/>
        </w:rPr>
        <w:t xml:space="preserve">Nome: ________________________________</w:t>
      </w:r>
    </w:p>
    <w:p>
      <w:pPr>
        <w:spacing w:after="0"/>
        <w:jc w:val="center"/>
      </w:pPr>
      <w:r>
        <w:rPr>
          <w:rFonts w:ascii="Times New Roman" w:cs="Times New Roman" w:eastAsia="Times New Roman" w:hAnsi="Times New Roman"/>
          <w:sz w:val="24"/>
          <w:szCs w:val="24"/>
        </w:rPr>
        <w:t xml:space="preserve">CPF: ________________________________</w:t>
      </w:r>
    </w:p>
    <w:p/>
    <w:p/>
    <w:p>
      <w:pPr>
        <w:spacing w:after="0"/>
        <w:jc w:val="center"/>
      </w:pPr>
      <w:r>
        <w:rPr>
          <w:rFonts w:ascii="Times New Roman" w:cs="Times New Roman" w:eastAsia="Times New Roman" w:hAnsi="Times New Roman"/>
          <w:sz w:val="24"/>
          <w:szCs w:val="24"/>
        </w:rPr>
        <w:t xml:space="preserve">_______________________________________________</w:t>
      </w:r>
    </w:p>
    <w:p>
      <w:pPr>
        <w:spacing w:after="0"/>
        <w:jc w:val="center"/>
      </w:pPr>
      <w:r>
        <w:rPr>
          <w:rFonts w:ascii="Times New Roman" w:cs="Times New Roman" w:eastAsia="Times New Roman" w:hAnsi="Times New Roman"/>
          <w:b/>
          <w:bCs/>
          <w:sz w:val="24"/>
          <w:szCs w:val="24"/>
        </w:rPr>
        <w:t xml:space="preserve">Testemunha 2</w:t>
      </w:r>
    </w:p>
    <w:p>
      <w:pPr>
        <w:spacing w:after="0"/>
        <w:jc w:val="center"/>
      </w:pPr>
      <w:r>
        <w:rPr>
          <w:rFonts w:ascii="Times New Roman" w:cs="Times New Roman" w:eastAsia="Times New Roman" w:hAnsi="Times New Roman"/>
          <w:sz w:val="24"/>
          <w:szCs w:val="24"/>
        </w:rPr>
        <w:t xml:space="preserve">Nome: ________________________________</w:t>
      </w:r>
    </w:p>
    <w:p>
      <w:pPr>
        <w:spacing w:after="0"/>
        <w:jc w:val="center"/>
      </w:pPr>
      <w:r>
        <w:rPr>
          <w:rFonts w:ascii="Times New Roman" w:cs="Times New Roman" w:eastAsia="Times New Roman" w:hAnsi="Times New Roman"/>
          <w:sz w:val="24"/>
          <w:szCs w:val="24"/>
        </w:rPr>
        <w:t xml:space="preserve">CPF: ________________________________</w:t>
      </w:r>
    </w:p>
    <w:sectPr>
      <w:footerReference w:type="default" r:id="rId7"/>
      <w:pgSz w:w="11906" w:h="16838" w:orient="portrait"/>
      <w:pgMar w:top="1701" w:right="1134" w:bottom="1134" w:left="1701"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Times New Roman" w:cs="Times New Roman" w:eastAsia="Times New Roman" w:hAnsi="Times New Roman"/>
        <w:sz w:val="18"/>
        <w:szCs w:val="18"/>
      </w:rPr>
      <w:t xml:space="preserve">Página </w:t>
    </w:r>
    <w:r>
      <w:rPr>
        <w:rFonts w:ascii="Times New Roman" w:cs="Times New Roman" w:eastAsia="Times New Roman" w:hAnsi="Times New Roman"/>
        <w:sz w:val="18"/>
        <w:szCs w:val="18"/>
      </w:rPr>
      <w:fldChar w:fldCharType="begin"/>
      <w:instrText xml:space="preserve">PAGE</w:instrText>
      <w:fldChar w:fldCharType="separate"/>
      <w:fldChar w:fldCharType="end"/>
    </w:r>
    <w:r>
      <w:rPr>
        <w:rFonts w:ascii="Times New Roman" w:cs="Times New Roman" w:eastAsia="Times New Roman" w:hAnsi="Times New Roman"/>
        <w:sz w:val="18"/>
        <w:szCs w:val="18"/>
      </w:rPr>
      <w:t xml:space="preserve"> de </w:t>
    </w:r>
    <w:r>
      <w:rPr>
        <w:rFonts w:ascii="Times New Roman" w:cs="Times New Roman" w:eastAsia="Times New Roman" w:hAnsi="Times New Roman"/>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2026-10-06T22:09:03.168Z</dcterms:created>
  <dcterms:modified xsi:type="dcterms:W3CDTF">2026-10-06T22:09:03.168Z</dcterms:modified>
</cp:coreProperties>
</file>

<file path=docProps/custom.xml><?xml version="1.0" encoding="utf-8"?>
<Properties xmlns="http://schemas.openxmlformats.org/officeDocument/2006/custom-properties" xmlns:vt="http://schemas.openxmlformats.org/officeDocument/2006/docPropsVTypes"/>
</file>