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b/>
          <w:bCs/>
        </w:rPr>
        <w:t xml:space="preserve">EXCELENTÍSSIMO SENHOR DESEMBARGADOR ANTÔNIO JOSÉ VIEIRA FILHO, RELATOR DA APELAÇÃO CÍVEL NA TERCEIRA CÂMARA DE DIREITO PRIVADO DO EGRÉGIO TRIBUNAL DE JUSTIÇA DO ESTADO DO MARANHÃO.</w:t>
      </w:r>
    </w:p>
    <w:p>
      <w:pPr>
        <w:spacing w:after="0"/>
      </w:pPr>
    </w:p>
    <w:p>
      <w:pPr>
        <w:spacing w:line="360"/>
      </w:pPr>
      <w:r>
        <w:rPr>
          <w:b/>
          <w:bCs/>
        </w:rPr>
        <w:t xml:space="preserve">Apelação Cível nº 0800052-74.2026.8.10.0073</w:t>
      </w:r>
    </w:p>
    <w:p>
      <w:pPr>
        <w:spacing w:line="360"/>
      </w:pPr>
      <w:r>
        <w:rPr>
          <w:b/>
          <w:bCs/>
        </w:rPr>
        <w:t xml:space="preserve">Embargante: BANCO DO NORDESTE DO BRASIL S.A.</w:t>
      </w:r>
    </w:p>
    <w:p>
      <w:pPr>
        <w:spacing w:line="360"/>
      </w:pPr>
      <w:r>
        <w:rPr>
          <w:b/>
          <w:bCs/>
        </w:rPr>
        <w:t xml:space="preserve">Embargado: JORGE MARQUES DE ARAÚJO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JORGE MARQUES DE ARAÚJO,</w:t>
      </w:r>
      <w:r>
        <w:t xml:space="preserve"> já qualificado nos autos em epígrafe, por meio de seu advogado, ANTÔNIO DE PÁDUA SANTOS NETO, inscrito na OAB-PI sob o nº 21.320, com endereço profissional na Rua Rio Grande do Sul, nº 1641, Bairro São Miguel, Miguel Alves-PI, CEP nº 64.130-000, e eletrônico </w:t>
      </w:r>
      <w:r>
        <w:rPr>
          <w:i/>
          <w:iCs/>
        </w:rPr>
        <w:t xml:space="preserve">paduanetojus@gmail.com</w:t>
      </w:r>
      <w:r>
        <w:t xml:space="preserve">, vem, respeitosamente, à presença de Vossa Excelência, com fundamento no art. 1.023, § 2º, do Código de Processo Civil, apresentar</w:t>
      </w:r>
    </w:p>
    <w:p>
      <w:pPr>
        <w:spacing w:after="0"/>
      </w:pPr>
    </w:p>
    <w:p>
      <w:pPr>
        <w:spacing w:after="0" w:line="360"/>
        <w:jc w:val="center"/>
      </w:pPr>
      <w:r>
        <w:rPr>
          <w:b/>
          <w:bCs/>
        </w:rPr>
        <w:t xml:space="preserve">C O N T R A R R A Z Õ E S   A O S   E M B A R G O S   D E   D E C L A R A Ç Ã O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opostos pelo </w:t>
      </w:r>
      <w:r>
        <w:rPr>
          <w:b/>
          <w:bCs/>
        </w:rPr>
        <w:t xml:space="preserve">BANCO DO NORDESTE DO BRASIL S.A.</w:t>
      </w:r>
      <w:r>
        <w:t xml:space="preserve"> (ID 59518412) contra o acórdão de ID 59113701, pelas razões de fato e de direito a seguir expostas.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I. Da tempestividade.</w:t>
      </w:r>
    </w:p>
    <w:p>
      <w:pPr>
        <w:spacing w:after="60" w:line="360"/>
        <w:ind w:firstLine="850"/>
        <w:jc w:val="both"/>
      </w:pPr>
      <w:r>
        <w:t xml:space="preserve">Os embargos de declaração foram opostos com pedido expresso de atribuição de efeitos infringentes, razão pela qual o embargado foi intimado para manifestação no prazo de 5 (cinco) dias, nos termos do art. 1.023, § 2º, do CPC.</w:t>
      </w:r>
    </w:p>
    <w:p>
      <w:pPr>
        <w:spacing w:after="60" w:line="360"/>
        <w:ind w:firstLine="850"/>
        <w:jc w:val="both"/>
      </w:pPr>
      <w:r>
        <w:rPr>
          <w:b/>
          <w:bCs/>
          <w:shd w:fill="FFF200" w:color="auto" w:val="clear"/>
        </w:rPr>
        <w:t xml:space="preserve">A intimação do embargado ocorreu em __/__/2026 (ID ________). Excluído o dia do começo e computados apenas os dias úteis (arts. 219 e 224 do CPC), o prazo encerra-se em __/__/2026,</w:t>
      </w:r>
      <w:r>
        <w:t xml:space="preserve"> sendo tempestiva a presente manifestação.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II. Síntese dos embargos.</w:t>
      </w:r>
    </w:p>
    <w:p>
      <w:pPr>
        <w:spacing w:after="60" w:line="360"/>
        <w:ind w:firstLine="850"/>
        <w:jc w:val="both"/>
      </w:pPr>
      <w:r>
        <w:t xml:space="preserve">O acórdão embargado, por unanimidade, deu provimento à apelação do embargado para reformar a sentença, conceder-lhe a gratuidade da justiça e determinar o retorno dos autos à origem para regular prosseguimento dos embargos de terceiro.</w:t>
      </w:r>
    </w:p>
    <w:p>
      <w:pPr>
        <w:spacing w:after="60" w:line="360"/>
        <w:ind w:firstLine="850"/>
        <w:jc w:val="both"/>
      </w:pPr>
      <w:r>
        <w:t xml:space="preserve">Inconformado, o Banco do Nordeste opôs embargos de declaração apontando dois supostos vícios: (i) </w:t>
      </w:r>
      <w:r>
        <w:rPr>
          <w:b/>
          <w:bCs/>
        </w:rPr>
        <w:t xml:space="preserve">contradição</w:t>
      </w:r>
      <w:r>
        <w:t xml:space="preserve"> entre o dispositivo formal do acórdão, que registrou “negar-lhe provimento”, e a ementa, o voto e a certidão de julgamento, que consignam o provimento do recurso; e (ii) </w:t>
      </w:r>
      <w:r>
        <w:rPr>
          <w:b/>
          <w:bCs/>
        </w:rPr>
        <w:t xml:space="preserve">omissão</w:t>
      </w:r>
      <w:r>
        <w:t xml:space="preserve"> quanto à tempestividade da petição protocolada em 12/03/2026, em atendimento ao despacho de 05/02/2026. Com base nesse segundo ponto, requer a atribuição de efeitos infringentes, “caso seja constatado que a manifestação foi apresentada fora do prazo”.</w:t>
      </w:r>
    </w:p>
    <w:p>
      <w:pPr>
        <w:spacing w:after="60" w:line="360"/>
        <w:ind w:firstLine="850"/>
        <w:jc w:val="both"/>
      </w:pPr>
      <w:r>
        <w:t xml:space="preserve">Como se demonstrará, o primeiro ponto revela mero </w:t>
      </w:r>
      <w:r>
        <w:rPr>
          <w:b/>
          <w:bCs/>
        </w:rPr>
        <w:t xml:space="preserve">erro material</w:t>
      </w:r>
      <w:r>
        <w:t xml:space="preserve">, cuja correção apenas confirma o resultado efetivamente proclamado em favor do embargado; o segundo não configura omissão, mas tentativa de inovar na causa e rediscutir o mérito do julgado, o que é vedado na via eleita.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III. Do erro material no dispositivo. Correção que confirma o provimento do apelo.</w:t>
      </w:r>
    </w:p>
    <w:p>
      <w:pPr>
        <w:spacing w:after="60" w:line="360"/>
        <w:ind w:firstLine="850"/>
        <w:jc w:val="both"/>
      </w:pPr>
      <w:r>
        <w:t xml:space="preserve">Assiste razão ao embargante apenas quanto à constatação de que o campo “Decisão (Acórdão)” registrou, por evidente equívoco de digitação, que a Câmara teria decidido “conhecer do recurso e no mérito negar-lhe provimento”.</w:t>
      </w:r>
    </w:p>
    <w:p>
      <w:pPr>
        <w:spacing w:after="60" w:line="360"/>
        <w:ind w:firstLine="850"/>
        <w:jc w:val="both"/>
      </w:pPr>
      <w:r>
        <w:t xml:space="preserve">Todos os demais elementos do julgado são uníssonos em sentido contrário. A ementa conclui expressamente por “</w:t>
      </w:r>
      <w:r>
        <w:rPr>
          <w:b/>
          <w:bCs/>
        </w:rPr>
        <w:t xml:space="preserve">RECURSO PROVIDO</w:t>
      </w:r>
      <w:r>
        <w:t xml:space="preserve">”; o voto do Relator assenta que “a sentença partiu de premissa fática equivocada” e conclui: “</w:t>
      </w:r>
      <w:r>
        <w:rPr>
          <w:i/>
          <w:iCs/>
        </w:rPr>
        <w:t xml:space="preserve">dou provimento ao recurso de apelação, para reformar a sentença, conceder a gratuidade da justiça ao apelante e determinar o retorno dos autos ao Juízo de origem</w:t>
      </w:r>
      <w:r>
        <w:t xml:space="preserve">”; e a certidão de julgamento, conforme o próprio embargante reconhece, registra que a Câmara, à unanimidade, “</w:t>
      </w:r>
      <w:r>
        <w:rPr>
          <w:i/>
          <w:iCs/>
        </w:rPr>
        <w:t xml:space="preserve">conheceu e deu provimento ao apelo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Trata-se, portanto, de </w:t>
      </w:r>
      <w:r>
        <w:rPr>
          <w:b/>
          <w:bCs/>
        </w:rPr>
        <w:t xml:space="preserve">erro material</w:t>
      </w:r>
      <w:r>
        <w:t xml:space="preserve">, e não de contradição na formação do convencimento do colegiado. O resultado proclamado na sessão virtual de 09 a 16/09/2026 foi o provimento do recurso, e é esse o resultado que deve constar do dispositivo. A correção pode ser feita a qualquer tempo, inclusive de ofício, nos termos dos arts. 494, I, e 1.022, III, do CPC, e não autoriza qualquer alteração do conteúdo decisório.</w:t>
      </w:r>
    </w:p>
    <w:p>
      <w:pPr>
        <w:spacing w:after="60" w:line="360"/>
        <w:ind w:firstLine="850"/>
        <w:jc w:val="both"/>
      </w:pPr>
      <w:r>
        <w:t xml:space="preserve">O embargado, portanto, </w:t>
      </w:r>
      <w:r>
        <w:rPr>
          <w:b/>
          <w:bCs/>
        </w:rPr>
        <w:t xml:space="preserve">concorda com a correção</w:t>
      </w:r>
      <w:r>
        <w:t xml:space="preserve">, desde que restrita a adequar o dispositivo ao resultado efetivamente proclamado, passando a constar que os Desembargadores acordam, por unanimidade, em </w:t>
      </w:r>
      <w:r>
        <w:rPr>
          <w:b/>
          <w:bCs/>
        </w:rPr>
        <w:t xml:space="preserve">conhecer do recurso e, no mérito, dar-lhe provimento</w:t>
      </w:r>
      <w:r>
        <w:t xml:space="preserve">, nos termos do voto do Relator.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IV. Da inexistência de omissão quanto à petição de 12/03/2026.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A questão jamais foi suscitada pelo embargante:</w:t>
      </w:r>
    </w:p>
    <w:p>
      <w:pPr>
        <w:spacing w:after="60" w:line="360"/>
        <w:ind w:firstLine="850"/>
        <w:jc w:val="both"/>
      </w:pPr>
      <w:r>
        <w:t xml:space="preserve">O art. 1.022, II, do CPC autoriza embargos de declaração para suprir omissão sobre “</w:t>
      </w:r>
      <w:r>
        <w:rPr>
          <w:i/>
          <w:iCs/>
        </w:rPr>
        <w:t xml:space="preserve">ponto ou questão sobre o qual devia se pronunciar o juiz de ofício ou a requerimento</w:t>
      </w:r>
      <w:r>
        <w:t xml:space="preserve">”. Não há omissão quando o órgão julgador deixa de examinar matéria que nenhuma das partes submeteu ao seu crivo.</w:t>
      </w:r>
    </w:p>
    <w:p>
      <w:pPr>
        <w:spacing w:after="60" w:line="360"/>
        <w:ind w:firstLine="850"/>
        <w:jc w:val="both"/>
      </w:pPr>
      <w:r>
        <w:t xml:space="preserve">Nas contrarrazões de apelação (ID 56302142), o Banco do Nordeste </w:t>
      </w:r>
      <w:r>
        <w:rPr>
          <w:b/>
          <w:bCs/>
        </w:rPr>
        <w:t xml:space="preserve">em nenhum momento alegou a intempestividade</w:t>
      </w:r>
      <w:r>
        <w:t xml:space="preserve"> da manifestação do apelante. Ao contrário, tratou a petição e os documentos como regularmente apresentados e limitou-se a sustentar que a prova seria insuficiente: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“No caso concreto, o Juízo de origem oportunizou ao embargante a comprovação da alegada hipossuficiência ou o recolhimento das custas. […] Uma vez oportunizada a comprovação da hipossuficiência e </w:t>
      </w:r>
      <w:r>
        <w:rPr>
          <w:b/>
          <w:bCs/>
          <w:u w:val="single"/>
          <w:shd w:fill="CFE2F3" w:color="auto" w:val="clear"/>
          <w:i/>
          <w:iCs/>
          <w:sz w:val="18"/>
          <w:szCs w:val="18"/>
        </w:rPr>
        <w:t xml:space="preserve">não demonstrado o preenchimento dos requisitos legais de modo suficiente</w:t>
      </w:r>
      <w:r>
        <w:rPr>
          <w:i/>
          <w:iCs/>
          <w:sz w:val="18"/>
          <w:szCs w:val="18"/>
        </w:rPr>
        <w:t xml:space="preserve">, mostra-se legítimo o indeferimento do benefício […].”</w:t>
      </w:r>
    </w:p>
    <w:p>
      <w:pPr>
        <w:spacing w:after="60" w:line="360"/>
        <w:ind w:firstLine="850"/>
        <w:jc w:val="both"/>
      </w:pPr>
      <w:r>
        <w:t xml:space="preserve">O próprio embargante, aliás, dedicou parte das contrarrazões a valorar o conteúdo dos extratos apresentados pelo apelante — afirmando que “</w:t>
      </w:r>
      <w:r>
        <w:rPr>
          <w:i/>
          <w:iCs/>
        </w:rPr>
        <w:t xml:space="preserve">a análise da capacidade econômica não se limita ao saldo existente em determinado dia ou mês</w:t>
      </w:r>
      <w:r>
        <w:t xml:space="preserve">” —, o que pressupõe a admissão de que tais documentos integravam validamente os autos.</w:t>
      </w:r>
    </w:p>
    <w:p>
      <w:pPr>
        <w:spacing w:after="60" w:line="360"/>
        <w:ind w:firstLine="850"/>
        <w:jc w:val="both"/>
      </w:pPr>
      <w:r>
        <w:t xml:space="preserve">A tese da suposta intempestividade surge, pela primeira vez, apenas nos embargos de declaração. Trata-se de </w:t>
      </w:r>
      <w:r>
        <w:rPr>
          <w:b/>
          <w:bCs/>
        </w:rPr>
        <w:t xml:space="preserve">inovação recursal</w:t>
      </w:r>
      <w:r>
        <w:t xml:space="preserve">, incompatível com a natureza integrativa do recurso, que não se presta a introduzir argumentos novos que a parte deixou de deduzir no momento oportuno. Não há como o colegiado ter sido omisso sobre questão que jamais lhe foi apresentada.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A própria sentença examinou os documentos juntados em 12/03/2026:</w:t>
      </w:r>
    </w:p>
    <w:p>
      <w:pPr>
        <w:spacing w:after="60" w:line="360"/>
        <w:ind w:firstLine="850"/>
        <w:jc w:val="both"/>
      </w:pPr>
      <w:r>
        <w:t xml:space="preserve">Ainda que assim não fosse, a alegação do embargante é desmentida pela própria sentença (ID 56302139). Embora tenha registrado, no relatório, “decorrido o prazo sem manifestação”, o Juízo de origem fundamentou o indeferimento na suposta “</w:t>
      </w:r>
      <w:r>
        <w:rPr>
          <w:b/>
          <w:bCs/>
        </w:rPr>
        <w:t xml:space="preserve">vultuosa movimentação financeira, superior a três salários mínimos mensais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Ocorre que a única fonte de informação sobre a movimentação bancária do apelante são justamente os </w:t>
      </w:r>
      <w:r>
        <w:rPr>
          <w:b/>
          <w:bCs/>
        </w:rPr>
        <w:t xml:space="preserve">extratos bancários juntados com a petição de 12/03/2026</w:t>
      </w:r>
      <w:r>
        <w:t xml:space="preserve"> (IDs 56301585, 56301586 e 56301587). Isto é: o Juízo de origem recebeu e valorou os documentos, chegando apenas a conclusão equivocada sobre o seu conteúdo — conclusão essa que o acórdão corretamente afastou ao reconhecer que os extratos revelam “</w:t>
      </w:r>
      <w:r>
        <w:rPr>
          <w:i/>
          <w:iCs/>
        </w:rPr>
        <w:t xml:space="preserve">saldos reduzidos ao final de cada período e operações de microcrédito e pagamento de parcelas de empréstimo, que representam passivo, não disponibilidade patrimonial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Se nem mesmo o Juízo de origem desconsiderou os documentos por intempestividade, não há premissa temporal a ser “integrada” pelo colegiado.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O acórdão possui fundamento autônomo e suficiente:</w:t>
      </w:r>
    </w:p>
    <w:p>
      <w:pPr>
        <w:spacing w:after="60" w:line="360"/>
        <w:ind w:firstLine="850"/>
        <w:jc w:val="both"/>
      </w:pPr>
      <w:r>
        <w:t xml:space="preserve">O embargante sustenta que a tempestividade da petição seria “premissa determinante” do julgado. Não é. O acórdão reformou a sentença por </w:t>
      </w:r>
      <w:r>
        <w:rPr>
          <w:b/>
          <w:bCs/>
        </w:rPr>
        <w:t xml:space="preserve">dois fundamentos autônomos</w:t>
      </w:r>
      <w:r>
        <w:t xml:space="preserve">: (i) a inexistência de inércia processual; e (ii) a constatação, a partir do exame dos documentos, de que a presunção de hipossuficiência do art. 99, § 3º, do CPC não foi ilidida por qualquer prova concreta em sentido contrário. E, como consequência, </w:t>
      </w:r>
      <w:r>
        <w:rPr>
          <w:b/>
          <w:bCs/>
        </w:rPr>
        <w:t xml:space="preserve">concedeu diretamente a gratuidade da justiça</w:t>
      </w:r>
      <w:r>
        <w:t xml:space="preserve"> ao apelante.</w:t>
      </w:r>
    </w:p>
    <w:p>
      <w:pPr>
        <w:spacing w:after="60" w:line="360"/>
        <w:ind w:firstLine="850"/>
        <w:jc w:val="both"/>
      </w:pPr>
      <w:r>
        <w:t xml:space="preserve">Esse segundo fundamento subsiste por si só. A gratuidade da justiça pode ser requerida e comprovada em qualquer fase do processo, inclusive em sede recursal (art. 99, </w:t>
      </w:r>
      <w:r>
        <w:rPr>
          <w:i/>
          <w:iCs/>
        </w:rPr>
        <w:t xml:space="preserve">caput</w:t>
      </w:r>
      <w:r>
        <w:t xml:space="preserve"> e § 1º, do CPC), e o art. 101 do CPC devolve ao Tribunal o exame integral da questão quando resolvida na sentença. O direito ao benefício decorre da situação econômica da parte (art. 98 do CPC e art. 5º, LXXIV, da Constituição Federal), e não se extingue por eventual atraso no cumprimento de despacho que apenas facultou a sua comprovação.</w:t>
      </w:r>
    </w:p>
    <w:p>
      <w:pPr>
        <w:spacing w:after="60" w:line="360"/>
        <w:ind w:firstLine="850"/>
        <w:jc w:val="both"/>
      </w:pPr>
      <w:r>
        <w:t xml:space="preserve">Por isso, ainda que se cogitasse de algum atraso — o que se admite apenas para argumentar —, o resultado do julgamento seria rigorosamente o mesmo: concedida a gratuidade, desaparece a única causa da extinção (a ausência de recolhimento das custas iniciais), e os autos devem retornar à origem para regular processamento.</w:t>
      </w:r>
    </w:p>
    <w:p>
      <w:pPr>
        <w:spacing w:after="60" w:line="360"/>
        <w:ind w:firstLine="850"/>
        <w:jc w:val="both"/>
      </w:pPr>
      <w:r>
        <w:t xml:space="preserve">O art. 489, § 1º, IV, do CPC, invocado pelo embargante, exige o enfrentamento apenas dos argumentos “</w:t>
      </w:r>
      <w:r>
        <w:rPr>
          <w:i/>
          <w:iCs/>
        </w:rPr>
        <w:t xml:space="preserve">capazes de, em tese, infirmar a conclusão adotada pelo julgador</w:t>
      </w:r>
      <w:r>
        <w:t xml:space="preserve">”. Argumento que, mesmo acolhido, não alteraria o resultado não se enquadra nessa hipótese.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O prazo assinalado não era peremptório:</w:t>
      </w:r>
    </w:p>
    <w:p>
      <w:pPr>
        <w:spacing w:after="60" w:line="360"/>
        <w:ind w:firstLine="850"/>
        <w:jc w:val="both"/>
      </w:pPr>
      <w:r>
        <w:t xml:space="preserve">Acrescente-se que o prazo fixado no despacho de 05/02/2026 é prazo judicial, de natureza dilatória, destinado a viabilizar a comprovação dos pressupostos da gratuidade, na forma do art. 99, § 2º, do CPC. Sua finalidade é cooperativa: permitir que o juiz decida com base em elementos concretos, e não punir a parte com a perda do direito ao benefício.</w:t>
      </w:r>
    </w:p>
    <w:p>
      <w:pPr>
        <w:spacing w:after="60" w:line="360"/>
        <w:ind w:firstLine="850"/>
        <w:jc w:val="both"/>
      </w:pPr>
      <w:r>
        <w:t xml:space="preserve">Os documentos foram juntados </w:t>
      </w:r>
      <w:r>
        <w:rPr>
          <w:b/>
          <w:bCs/>
        </w:rPr>
        <w:t xml:space="preserve">mais de um mês antes da sentença</w:t>
      </w:r>
      <w:r>
        <w:t xml:space="preserve">, como registrou o acórdão, e estavam à disposição do Juízo quando da prolação da decisão. Desconsiderá-los por mero apego à contagem do prazo violaria os princípios da primazia do julgamento de mérito, da cooperação e da instrumentalidade das formas (arts. 4º, 6º, 139, IX, e 317 do CPC), sobretudo em processo cujo resultado foi a extinção sem resolução do mérito de demanda que visa proteger a posse de bem de terceiro adquirente de boa-fé.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A tempestividade da petição de 12/03/2026:</w:t>
      </w:r>
    </w:p>
    <w:p>
      <w:pPr>
        <w:spacing w:after="60" w:line="360"/>
        <w:ind w:firstLine="850"/>
        <w:jc w:val="both"/>
      </w:pPr>
      <w:r>
        <w:rPr>
          <w:b/>
          <w:bCs/>
          <w:shd w:fill="FFF200" w:color="auto" w:val="clear"/>
        </w:rPr>
        <w:t xml:space="preserve">[CONFERIR NA ABA “EXPEDIENTES” DO PJe ANTES DO PROTOCOLO — manter este tópico somente se a contagem confirmar a tempestividade; caso contrário, suprimi-lo.]</w:t>
      </w:r>
    </w:p>
    <w:p>
      <w:pPr>
        <w:spacing w:after="60" w:line="360"/>
        <w:ind w:firstLine="850"/>
        <w:jc w:val="both"/>
      </w:pPr>
      <w:r>
        <w:t xml:space="preserve">De todo modo, a manifestação foi tempestiva. </w:t>
      </w:r>
      <w:r>
        <w:rPr>
          <w:b/>
          <w:bCs/>
          <w:shd w:fill="FFF200" w:color="auto" w:val="clear"/>
        </w:rPr>
        <w:t xml:space="preserve">O despacho de 05/02/2026 (ID 56301575) foi objeto de intimação eletrônica pelo sistema PJe, expedida em __/02/2026, com ciência registrada em __/02/2026 (art. 5º, § 3º, da Lei nº 11.419/2006).</w:t>
      </w:r>
      <w:r>
        <w:t xml:space="preserve"> Excluído o dia do começo e computados apenas os dias úteis (arts. 219 e 224 do CPC), e desconsiderados os dias sem expediente forense do período de Carnaval (16 a 18/02/2026), </w:t>
      </w:r>
      <w:r>
        <w:rPr>
          <w:b/>
          <w:bCs/>
          <w:shd w:fill="FFF200" w:color="auto" w:val="clear"/>
        </w:rPr>
        <w:t xml:space="preserve">o prazo de 15 dias iniciou-se em __/02/2026 e encerrou-se em 12/03/2026</w:t>
      </w:r>
      <w:r>
        <w:t xml:space="preserve">, data em que foi protocolada a petição de ID 56301580.</w:t>
      </w:r>
    </w:p>
    <w:p>
      <w:pPr>
        <w:spacing w:after="60" w:line="360"/>
        <w:ind w:firstLine="850"/>
        <w:jc w:val="both"/>
      </w:pPr>
      <w:r>
        <w:t xml:space="preserve">Em qualquer hipótese, a apuração da data de intimação e a contagem do prazo dependeriam do reexame de matéria fática que não foi controvertida no recurso, o que extrapola os estreitos limites dos embargos de declaração.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V. Do descabimento dos efeitos infringentes e do prequestionamento.</w:t>
      </w:r>
    </w:p>
    <w:p>
      <w:pPr>
        <w:spacing w:after="60" w:line="360"/>
        <w:ind w:firstLine="850"/>
        <w:jc w:val="both"/>
      </w:pPr>
      <w:r>
        <w:t xml:space="preserve">Os embargos de declaração possuem natureza integrativa e destinam-se exclusivamente a esclarecer obscuridade, eliminar contradição, suprir omissão ou corrigir erro material (art. 1.022 do CPC). A atribuição de efeitos modificativos é excepcional e somente se admite quando a modificação decorre, como consequência necessária, do saneamento de um vício efetivamente existente.</w:t>
      </w:r>
    </w:p>
    <w:p>
      <w:pPr>
        <w:spacing w:after="60" w:line="360"/>
        <w:ind w:firstLine="850"/>
        <w:jc w:val="both"/>
      </w:pPr>
      <w:r>
        <w:t xml:space="preserve">No caso, o único vício existente — o erro material no dispositivo — conduz justamente à </w:t>
      </w:r>
      <w:r>
        <w:rPr>
          <w:b/>
          <w:bCs/>
        </w:rPr>
        <w:t xml:space="preserve">confirmação</w:t>
      </w:r>
      <w:r>
        <w:t xml:space="preserve"> do provimento da apelação. Quanto ao mais, o pedido condicional de efeitos infringentes (“caso […] seja constatado que a manifestação foi apresentada fora do prazo”) revela o verdadeiro propósito do recurso: rediscutir o mérito do julgado a partir de tese nova, o que não se admite.</w:t>
      </w:r>
    </w:p>
    <w:p>
      <w:pPr>
        <w:spacing w:after="60" w:line="360"/>
        <w:ind w:firstLine="850"/>
        <w:jc w:val="both"/>
      </w:pPr>
      <w:r>
        <w:t xml:space="preserve">Quanto ao prequestionamento, o art. 1.025 do CPC já considera incluídos no acórdão os elementos suscitados pelo embargante para fins de prequestionamento, ainda que os embargos sejam rejeitados, de modo que o pedido não justifica qualquer modificação do julgado.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VI. Dos pedidos.</w:t>
      </w:r>
    </w:p>
    <w:p>
      <w:pPr>
        <w:spacing w:after="60" w:line="360"/>
        <w:ind w:firstLine="850"/>
        <w:jc w:val="both"/>
      </w:pPr>
      <w:r>
        <w:t xml:space="preserve">Ante o exposto, requer o embargado: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A.</w:t>
      </w:r>
      <w:r>
        <w:tab/>
      </w:r>
      <w:r>
        <w:t xml:space="preserve">o </w:t>
      </w:r>
      <w:r>
        <w:rPr>
          <w:b/>
          <w:bCs/>
        </w:rPr>
        <w:t xml:space="preserve">acolhimento parcial</w:t>
      </w:r>
      <w:r>
        <w:t xml:space="preserve"> dos embargos de declaração, </w:t>
      </w:r>
      <w:r>
        <w:rPr>
          <w:b/>
          <w:bCs/>
        </w:rPr>
        <w:t xml:space="preserve">exclusivamente para a correção do erro material</w:t>
      </w:r>
      <w:r>
        <w:t xml:space="preserve"> constante do dispositivo do acórdão, a fim de que passe a constar que a Terceira Câmara de Direito Privado, por unanimidade, </w:t>
      </w:r>
      <w:r>
        <w:rPr>
          <w:b/>
          <w:bCs/>
        </w:rPr>
        <w:t xml:space="preserve">conheceu do recurso e, no mérito, deu-lhe provimento</w:t>
      </w:r>
      <w:r>
        <w:t xml:space="preserve">, nos termos do voto do Relator, em conformidade com a ementa, o voto e a certidão de julgamento;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B.</w:t>
      </w:r>
      <w:r>
        <w:tab/>
      </w:r>
      <w:r>
        <w:t xml:space="preserve">a </w:t>
      </w:r>
      <w:r>
        <w:rPr>
          <w:b/>
          <w:bCs/>
        </w:rPr>
        <w:t xml:space="preserve">rejeição</w:t>
      </w:r>
      <w:r>
        <w:t xml:space="preserve"> dos embargos quanto à alegada omissão sobre a tempestividade da petição de 12/03/2026, por tratar-se de inovação recursal e de questão incapaz de infirmar a conclusão do julgado, que se sustenta em fundamento autônomo;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C.</w:t>
      </w:r>
      <w:r>
        <w:tab/>
      </w:r>
      <w:r>
        <w:t xml:space="preserve">o </w:t>
      </w:r>
      <w:r>
        <w:rPr>
          <w:b/>
          <w:bCs/>
        </w:rPr>
        <w:t xml:space="preserve">indeferimento do pedido de efeitos infringentes</w:t>
      </w:r>
      <w:r>
        <w:t xml:space="preserve">, mantendo-se integralmente o acórdão que reformou a sentença, concedeu a gratuidade da justiça ao embargado e determinou o retorno dos autos à origem para regular prosseguimento do feito.</w:t>
      </w:r>
    </w:p>
    <w:p>
      <w:pPr>
        <w:spacing w:after="0"/>
      </w:pPr>
    </w:p>
    <w:p>
      <w:pPr>
        <w:spacing w:after="0" w:line="360"/>
        <w:jc w:val="center"/>
      </w:pPr>
      <w:r>
        <w:t xml:space="preserve">Nestes termos,</w:t>
      </w:r>
    </w:p>
    <w:p>
      <w:pPr>
        <w:spacing w:after="0" w:line="360"/>
        <w:jc w:val="center"/>
      </w:pPr>
      <w:r>
        <w:t xml:space="preserve">Pede deferimento.</w:t>
      </w:r>
    </w:p>
    <w:p>
      <w:pPr>
        <w:spacing w:after="0"/>
      </w:pPr>
    </w:p>
    <w:p>
      <w:pPr>
        <w:spacing w:after="0" w:line="360"/>
        <w:jc w:val="center"/>
      </w:pPr>
      <w:r>
        <w:t xml:space="preserve">Miguel Alves-PI, datado eletronicamente.</w:t>
      </w:r>
    </w:p>
    <w:p>
      <w:pPr>
        <w:spacing w:after="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