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mapa-de-decisão"/>
    <w:p>
      <w:pPr>
        <w:pStyle w:val="Heading2"/>
      </w:pPr>
      <w:r>
        <w:t xml:space="preserve">Mapa de decisão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 na abertura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 acordo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Despacho no PJe cancelou a audiência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  <w:r>
              <w:t xml:space="preserve"> </w:t>
            </w:r>
            <w:r>
              <w:t xml:space="preserve">(petição)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apresentar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Juiz/conciliador cancela na abertura do 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 </w:t>
            </w:r>
            <w:r>
              <w:t xml:space="preserve">(registro e protesto)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apresentar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ausente; presente só o advogado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(extinção, art. 51, 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apresentar</w:t>
            </w:r>
            <w:r>
              <w:t xml:space="preserve"> </w:t>
            </w:r>
            <w:r>
              <w:t xml:space="preserve">e justificar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presente pessoalmente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(registro, ratificação, julgamento antecipado)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apresentar</w:t>
            </w:r>
            <w:r>
              <w:t xml:space="preserve"> </w:t>
            </w:r>
            <w:r>
              <w:t xml:space="preserve">e justificar (recusa expressa do 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qualquer cenário, se alegarem intempestividade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Em todos os cenários em que o processo prosseguir:</w:t>
      </w:r>
      <w:r>
        <w:t xml:space="preserve"> </w:t>
      </w:r>
      <w:r>
        <w:t xml:space="preserve">ratificar a contestação em ata e registrar a ausência de procuração do autor.</w:t>
      </w:r>
    </w:p>
    <w:bookmarkEnd w:id="20"/>
    <w:bookmarkStart w:id="21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saiu, ir direto ao</w:t>
      </w:r>
      <w:r>
        <w:t xml:space="preserve"> </w:t>
      </w:r>
      <w:r>
        <w:rPr>
          <w:bCs/>
          <w:b/>
        </w:rPr>
        <w:t xml:space="preserve">Cenário C2</w:t>
      </w:r>
      <w:r>
        <w:t xml:space="preserve">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p>
      <w:pPr>
        <w:pStyle w:val="BodyText"/>
      </w:pPr>
      <w:r>
        <w:t xml:space="preserve">☐ Se surgir proposta do autor: lembrar que só o cliente decide; conferir se a procuração do Ely Sandro (ID 105179160) tem</w:t>
      </w:r>
      <w:r>
        <w:t xml:space="preserve"> </w:t>
      </w:r>
      <w:r>
        <w:rPr>
          <w:bCs/>
          <w:b/>
        </w:rPr>
        <w:t xml:space="preserve">poderes para transigir</w:t>
      </w:r>
      <w:r>
        <w:t xml:space="preserve">.</w:t>
      </w:r>
    </w:p>
    <w:bookmarkEnd w:id="21"/>
    <w:bookmarkStart w:id="23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Por essas razões, o requerido</w:t>
      </w:r>
      <w:r>
        <w:t xml:space="preserve"> </w:t>
      </w:r>
      <w:r>
        <w:rPr>
          <w:bCs/>
          <w:b/>
        </w:rPr>
        <w:t xml:space="preserve">deixa de apresentar proposta de acordo neste ato</w:t>
      </w:r>
      <w:r>
        <w:t xml:space="preserve">, não por falta de disposição conciliatória, que mantém e manifestou na contestação, mas porque</w:t>
      </w:r>
      <w:r>
        <w:t xml:space="preserve"> </w:t>
      </w:r>
      <w:r>
        <w:rPr>
          <w:bCs/>
          <w:b/>
        </w:rPr>
        <w:t xml:space="preserve">não há interlocutor válido</w:t>
      </w:r>
      <w:r>
        <w:t xml:space="preserve">: o autor não compareceu, declarou nos autos que não tem interesse na composição, e o advogado presente não possui procuração nem poderes especiais para transigir, que não podem ser verbais (art. 9º, § 3º). Qualquer proposta seria inócua e não poderia ser aceita validamente em nome do autor. A ausência de proposta decorre, portanto,</w:t>
      </w:r>
      <w:r>
        <w:t xml:space="preserve"> </w:t>
      </w:r>
      <w:r>
        <w:rPr>
          <w:bCs/>
          <w:b/>
        </w:rPr>
        <w:t xml:space="preserve">exclusivamente da conduta do autor</w:t>
      </w:r>
      <w:r>
        <w:t xml:space="preserve">, e não do requerido.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2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 não há proposta sobre a mesa, é porque não há com quem transigir validamente: o autor está ausente e seu advogado não tem procuração.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2"/>
    <w:bookmarkEnd w:id="23"/>
    <w:bookmarkStart w:id="24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deixa de apresentar proposta de acordo</w:t>
      </w:r>
      <w:r>
        <w:t xml:space="preserve">, sem prejuízo da disposição conciliatória que mantém, porque o próprio autor declarou nos autos, de forma</w:t>
      </w:r>
      <w:r>
        <w:t xml:space="preserve"> </w:t>
      </w:r>
      <w:r>
        <w:rPr>
          <w:bCs/>
          <w:b/>
        </w:rPr>
        <w:t xml:space="preserve">expressa e inequívoca</w:t>
      </w:r>
      <w:r>
        <w:t xml:space="preserve">, que</w:t>
      </w:r>
      <w:r>
        <w:t xml:space="preserve"> </w:t>
      </w:r>
      <w:r>
        <w:rPr>
          <w:bCs/>
          <w:b/>
        </w:rPr>
        <w:t xml:space="preserve">não tem interesse na autocomposição</w:t>
      </w:r>
      <w:r>
        <w:t xml:space="preserve"> </w:t>
      </w:r>
      <w:r>
        <w:t xml:space="preserve">(ID 107306168) e que a retratação é o núcleo da sua pretensão, afirmando que</w:t>
      </w:r>
      <w:r>
        <w:t xml:space="preserve"> </w:t>
      </w:r>
      <w:r>
        <w:t xml:space="preserve">“</w:t>
      </w:r>
      <w:r>
        <w:t xml:space="preserve">inexiste ponto de convergência possível</w:t>
      </w:r>
      <w:r>
        <w:t xml:space="preserve">”</w:t>
      </w:r>
      <w:r>
        <w:t xml:space="preserve">. A autocomposição é ato bilateral e voluntário, como o próprio autor sustentou na sua petição (art. 166 do CPC; art. 2º, § 2º, da Lei 13.140/2015). Diante da recusa prévia e expressa, qualquer proposta seria inócua. A inviabilidade da composição decorre, portanto,</w:t>
      </w:r>
      <w:r>
        <w:t xml:space="preserve"> </w:t>
      </w:r>
      <w:r>
        <w:rPr>
          <w:bCs/>
          <w:b/>
        </w:rPr>
        <w:t xml:space="preserve">exclusivamente da manifestação do autor</w:t>
      </w:r>
      <w:r>
        <w:t xml:space="preserve">, e não do requerido, que compareceu pessoalmente e permanece aberto ao diálogo, inclusive em momento posterior (art. 139, V, do CPC).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p>
      <w:pPr>
        <w:pStyle w:val="FirstParagraph"/>
      </w:pPr>
      <w:r>
        <w:rPr>
          <w:bCs/>
          <w:b/>
        </w:rPr>
        <w:t xml:space="preserve">Se o autor fizer proposta:</w:t>
      </w:r>
      <w:r>
        <w:t xml:space="preserve"> </w:t>
      </w:r>
      <w:r>
        <w:t xml:space="preserve">não aceitar na hora. Pedir que conste em ata e requerer prazo (5 dias) para consulta ao cliente.</w:t>
      </w:r>
      <w:r>
        <w:t xml:space="preserve"> </w:t>
      </w:r>
      <w:r>
        <w:rPr>
          <w:bCs/>
          <w:b/>
        </w:rPr>
        <w:t xml:space="preserve">Não aceitar</w:t>
      </w:r>
      <w:r>
        <w:t xml:space="preserve"> </w:t>
      </w:r>
      <w:r>
        <w:t xml:space="preserve">retratação genérica, pagamento, remoção de vídeos ou abstenção de manifestações futuras sem autorização expressa do cliente.</w:t>
      </w:r>
    </w:p>
    <w:bookmarkEnd w:id="24"/>
    <w:bookmarkStart w:id="27" w:name="cenário-c-o-juiz-cancela-a-audiência"/>
    <w:p>
      <w:pPr>
        <w:pStyle w:val="Heading2"/>
      </w:pPr>
      <w:r>
        <w:t xml:space="preserve">CENÁRIO C — O juiz cancela a audiência</w:t>
      </w:r>
    </w:p>
    <w:bookmarkStart w:id="25" w:name="X63fbb778c53f124e5e080ce3f94fa6c2e8d6bf4"/>
    <w:p>
      <w:pPr>
        <w:pStyle w:val="Heading3"/>
      </w:pPr>
      <w:r>
        <w:t xml:space="preserve">C1. Cancelamento na abertura do ato (sala já aberta)</w:t>
      </w:r>
    </w:p>
    <w:p>
      <w:pPr>
        <w:pStyle w:val="FirstParagraph"/>
      </w:pPr>
      <w:r>
        <w:t xml:space="preserve">Antes de qualquer deliberação, pedir o registro dos fatos. Eles servem de base para o recurso inominado futuro.</w:t>
      </w:r>
    </w:p>
    <w:p>
      <w:pPr>
        <w:pStyle w:val="BlockText"/>
      </w:pPr>
      <w:r>
        <w:t xml:space="preserve">“</w:t>
      </w:r>
      <w:r>
        <w:t xml:space="preserve">Excelência, antes da deliberação, a defesa requer que conste em ata: (i)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autor não compareceu</w:t>
      </w:r>
      <w:r>
        <w:t xml:space="preserve">; (ii) que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; e (iii) a</w:t>
      </w:r>
      <w:r>
        <w:t xml:space="preserve"> </w:t>
      </w:r>
      <w:r>
        <w:rPr>
          <w:bCs/>
          <w:b/>
        </w:rPr>
        <w:t xml:space="preserve">oposição do requerido ao cancelamento</w:t>
      </w:r>
      <w:r>
        <w:t xml:space="preserve">. O requerido manifestou interesse na conciliação (contestação, ID 106243575). Nem pelo CPC a audiência poderia ser dispensada, pois o art. 334, § 4º, I, exige que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 manifestem desinteresse. E, no rito da Lei 9.099/1995, escolhido pelo próprio autor, não existe cancelamento por manifestação das partes (TJPR, RI 0002883-64.2024.8.16.0160). Além disso, o pedido de cancelamento (ID 107306168) foi formulado por advogado</w:t>
      </w:r>
      <w:r>
        <w:t xml:space="preserve"> </w:t>
      </w:r>
      <w:r>
        <w:rPr>
          <w:bCs/>
          <w:b/>
        </w:rPr>
        <w:t xml:space="preserve">sem procuração nos autos</w:t>
      </w:r>
      <w:r>
        <w:t xml:space="preserve">, sendo ato ineficaz enquanto não ratificado (art. 104, § 2º, do CPC). Requer, assim, a manutenção do ato e a extinção do processo (art. 51, I). Mantida a deliberação, requer o registro do protesto, para oportuna arguição em recurso.</w:t>
      </w:r>
      <w:r>
        <w:t xml:space="preserve">”</w:t>
      </w:r>
    </w:p>
    <w:bookmarkEnd w:id="25"/>
    <w:bookmarkStart w:id="26" w:name="Xd4b66d3cd696afd1f17f667564c1aa01ce6012a"/>
    <w:p>
      <w:pPr>
        <w:pStyle w:val="Heading3"/>
      </w:pPr>
      <w:r>
        <w:t xml:space="preserve">C2. Cancelamento por despacho antes do ato</w:t>
      </w:r>
    </w:p>
    <w:p>
      <w:pPr>
        <w:numPr>
          <w:ilvl w:val="0"/>
          <w:numId w:val="1001"/>
        </w:numPr>
        <w:pStyle w:val="Compact"/>
      </w:pPr>
      <w:r>
        <w:t xml:space="preserve">A tese do art. 51, I,</w:t>
      </w:r>
      <w:r>
        <w:t xml:space="preserve"> </w:t>
      </w:r>
      <w:r>
        <w:rPr>
          <w:bCs/>
          <w:b/>
        </w:rPr>
        <w:t xml:space="preserve">deixa de existir</w:t>
      </w:r>
      <w:r>
        <w:t xml:space="preserve">: sem audiência, não há ausência. O TJPR distingue exatamente o caso de audiência cancelada pelo juízo.</w:t>
      </w:r>
    </w:p>
    <w:p>
      <w:pPr>
        <w:numPr>
          <w:ilvl w:val="0"/>
          <w:numId w:val="1001"/>
        </w:numPr>
        <w:pStyle w:val="Compact"/>
      </w:pPr>
      <w:r>
        <w:t xml:space="preserve">Não há agravo nos Juizados (Enunciado 15 do FONAJE). As interlocutórias não precluem e podem ser impugnadas</w:t>
      </w:r>
      <w:r>
        <w:t xml:space="preserve"> </w:t>
      </w:r>
      <w:r>
        <w:rPr>
          <w:bCs/>
          <w:b/>
        </w:rPr>
        <w:t xml:space="preserve">em preliminar de recurso inominado</w:t>
      </w:r>
      <w:r>
        <w:t xml:space="preserve"> </w:t>
      </w:r>
      <w:r>
        <w:t xml:space="preserve">contra a sentença. Por isso, registrar já a oposição.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Protocolar petição</w:t>
      </w:r>
      <w:r>
        <w:t xml:space="preserve"> </w:t>
      </w:r>
      <w:r>
        <w:t xml:space="preserve">com: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Oposição ao cancelamento</w:t>
      </w:r>
      <w:r>
        <w:t xml:space="preserve">, para registro: o art. 334, § 4º, I, do CPC exige desinteresse de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partes; o rito da Lei 9.099 foi escolhido pelo autor (inicial, item II e pedido 5); o pedido de cancelamento foi feito sem procuração (art. 104, § 2º, do CPC).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Irregularidade de representação:</w:t>
      </w:r>
      <w:r>
        <w:t xml:space="preserve"> </w:t>
      </w:r>
      <w:r>
        <w:t xml:space="preserve">intimação do autor para juntar procuração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 extinção (arts. 76, § 1º, I, e 485, IV, do CPC), com a ineficácia dos atos não ratificados, inclusive o pedido de cancelamento e a própria inicial (art. 104, § 2º).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Ratificação da contestação</w:t>
      </w:r>
      <w:r>
        <w:t xml:space="preserve"> </w:t>
      </w:r>
      <w:r>
        <w:t xml:space="preserve">(ID 106243575) e defesa da tempestividade (Enunciados 10 e 11 do FONAJE; art. 231 do CPC fixado pelo juízo; boa-fé, arts. 5º e 6º; justa causa, art. 223), antecipando o ataque que o autor anunciou para a réplica.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pela imunidade parlamentar material (art. 29, VIII, CF; Tema 469/STF), já reconhecida na decisão de ID 100909958.</w:t>
      </w:r>
    </w:p>
    <w:bookmarkEnd w:id="26"/>
    <w:bookmarkEnd w:id="27"/>
    <w:bookmarkStart w:id="28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8"/>
    <w:bookmarkStart w:id="29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Proposta de acordo:</w:t>
      </w:r>
      <w:r>
        <w:t xml:space="preserve"> </w:t>
      </w:r>
      <w:r>
        <w:t xml:space="preserve">o requerido</w:t>
      </w:r>
      <w:r>
        <w:t xml:space="preserve"> </w:t>
      </w:r>
      <w:r>
        <w:rPr>
          <w:bCs/>
          <w:b/>
        </w:rPr>
        <w:t xml:space="preserve">não apresenta proposta</w:t>
      </w:r>
      <w:r>
        <w:t xml:space="preserve"> </w:t>
      </w:r>
      <w:r>
        <w:t xml:space="preserve">em nenhum cenário. No Cenário A, por falta de interlocutor válido (autor ausente, sem procuração); no Cenário B, pela recusa expressa do autor (ID 107306168). Em ambos, registrar que a disposição conciliatória do requerido permanece.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3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9"/>
    <w:bookmarkStart w:id="30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art. 334, § 4º, I (desinteresse de</w:t>
            </w:r>
            <w:r>
              <w:t xml:space="preserve"> </w:t>
            </w:r>
            <w:r>
              <w:rPr>
                <w:bCs/>
                <w:b/>
              </w:rPr>
              <w:t xml:space="preserve">ambas</w:t>
            </w:r>
            <w:r>
              <w:t xml:space="preserve"> </w:t>
            </w:r>
            <w:r>
              <w:t xml:space="preserve">as partes); FONAJE 15 (sem agravo; impugnar em recurso inominado)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30"/>
    <w:bookmarkEnd w:id="31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2026-10-22T14:02:53Z</dcterms:created>
  <dcterms:modified xsi:type="dcterms:W3CDTF">2026-10-22T14:02:53Z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