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e apresentada pelo grupo econômico da ré (PagBank Participações Ltda.), não houve solução da controvérsia e os fundamentos da retenção permaneceram genéricos. Na oportunidade, a empresa:</w:t>
      </w:r>
    </w:p>
    <w:p>
      <w:pPr>
        <w:tabs>
          <w:tab w:val="left" w:pos="1000"/>
        </w:tabs>
        <w:spacing w:after="60" w:line="360"/>
        <w:ind w:left="1000" w:hanging="400"/>
        <w:jc w:val="both"/>
      </w:pPr>
      <w:r>
        <w:t xml:space="preserve">a)	</w:t>
      </w:r>
      <w:r>
        <w:t xml:space="preserve">limitou-se a afirmar que, “por medidas de segurança, foi realizado o encerramento da conta e consequente bloqueio do saldo”, sem indicar a conduta concreta que teria motivado a medida;</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telefônico “SOS BLOQUEIO” como meio de atendimento, sem providência concreta capaz de solucionar a retenção; e</w:t>
      </w:r>
    </w:p>
    <w:p>
      <w:pPr>
        <w:tabs>
          <w:tab w:val="left" w:pos="1000"/>
        </w:tabs>
        <w:spacing w:after="60" w:line="360"/>
        <w:ind w:left="1000" w:hanging="400"/>
        <w:jc w:val="both"/>
      </w:pPr>
      <w:r>
        <w:t xml:space="preserve">d)	</w:t>
      </w:r>
      <w:r>
        <w:t xml:space="preserve">transcreveu cláusulas contratuais genéricas (5.10, 5.15.3 e 14.4), sem individualizar a conduta atribuída aos autores, a razão específica da restrição ou qualquer prazo para regularização.</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O entendimento não é isolado. A 3ª Turma Recursal do TJPI, em caso no qual a instituição reteve o saldo da conta digital do cliente sem causa jurídica válida (a pretexto de quitar acordo que jamais fora celebrado), manteve a sentença que condenou o banco a </w:t>
      </w:r>
      <w:r>
        <w:rPr>
          <w:b/>
          <w:bCs/>
          <w:u w:val="single"/>
          <w:shd w:fill="CFE2F3" w:color="auto" w:val="clear"/>
        </w:rPr>
        <w:t xml:space="preserve">restituir integralmente o valor retido</w:t>
      </w:r>
      <w:r>
        <w:t xml:space="preserve"> e a indenizar os danos morais:</w:t>
      </w:r>
    </w:p>
    <w:p>
      <w:pPr>
        <w:pBdr>
          <w:top w:val="single" w:color="9AA0A6" w:sz="4" w:space="6"/>
          <w:bottom w:val="single" w:color="9AA0A6" w:sz="4" w:space="6"/>
        </w:pBdr>
        <w:spacing w:after="200" w:before="160" w:line="240"/>
        <w:ind w:left="2270" w:right="570"/>
        <w:jc w:val="both"/>
      </w:pPr>
      <w:r>
        <w:rPr>
          <w:i/>
          <w:iCs/>
          <w:sz w:val="18"/>
          <w:szCs w:val="18"/>
        </w:rPr>
        <w:t xml:space="preserve">RECURSO INOMINADO. AÇÃO DECLARATÓRIA DE NULIDADE DE ACORDO C/C REPETIÇÃO DO INDÉBITO E INDENIZAÇÃO POR DANOS MORAIS. PRELIMINAR DE NULIDADE DE CITAÇÃO REJEITADA. APLICABILIDADE DO CDC. INVERSÃO DO ÔNUS DA PROVA. RESPONSABILIDADE CIVIL OBJETIVA DO RÉU. RETENÇÃO DE SALDO DE CONTA DIGITAL. BLOQUEIO INDEVIDO. PLEITO AUTORAL PROCEDENTE. FALHA NA PRESTAÇÃO DO SERVIÇO. DEVER DO BANCO DE RESSARCIR O CLIENTE. DANOS MORAIS CONFIGURADOS. QUANTUM INDENIZATÓRIO PROPORCIONAL E RAZOÁVEL. SENTENÇA MANTIDA. RECURSO CONHECIDO E IMPROVIDO. (TJ-PI - Recurso Inominado Cível nº 0803814-42.2022.8.18.0162, Rel. Francisco João Damasceno, 3ª Turma Recursal, publicado em 22/11/2023)</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as contas foram encerradas sem comunicação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(iii) manutenção do bloqueio por quase dois anos, sem prazo definido; e (iv) confissão da própria ré, perante o PROCON, de que “não é possível desbloquear os valores”, sem apresentar alternativa para restituí-los. A menção genérica a “medidas de segurança”, acompanhada da mera transcrição de cláusulas contratuais, não supre o dever de informação clara e adequada (art. 6º, III, do CDC).</w:t>
      </w:r>
    </w:p>
    <w:p>
      <w:pPr>
        <w:spacing w:after="60" w:line="360"/>
        <w:ind w:firstLine="850"/>
        <w:jc w:val="both"/>
      </w:pPr>
      <w:r>
        <w:t xml:space="preserve">Nem mesmo as cláusulas invocadas pela ré na resposta ao PROCON amparam a retenção. Ao contrário, elas a desautorizam:</w:t>
      </w:r>
    </w:p>
    <w:p>
      <w:pPr>
        <w:pBdr>
          <w:top w:val="single" w:color="9AA0A6" w:sz="4" w:space="6"/>
          <w:bottom w:val="single" w:color="9AA0A6" w:sz="4" w:space="6"/>
        </w:pBdr>
        <w:spacing w:after="200" w:before="160" w:line="240"/>
        <w:ind w:left="2270" w:right="570"/>
        <w:jc w:val="both"/>
      </w:pPr>
      <w:r>
        <w:rPr>
          <w:i/>
          <w:iCs/>
          <w:sz w:val="18"/>
          <w:szCs w:val="18"/>
        </w:rPr>
        <w:t xml:space="preserve">5.10. Se houver indício de ilicitude, fraude ou violação ao presente contrato por parte do contratante, poderá o PagSeguro recusar-se a incluir créditos no registro de serviço do contratante, bloqueando referido registro de serviço e suspendendo quaisquer transações de comércio eletrônico, pagamentos e movimentações, até que se esclareça a situação, bem como a tomar as providências que julgar necessárias junto às autoridades competentes, caso não se esclareça a situação em prazo razoável. [...] 14.4. Qualquer das partes poderá rescindir o presente contrato a qualquer momento durante seu período de vigência, mediante cancelamento do Serviço. [...] 5.15.3. Sem prejuízo das cláusulas anteriores, poderá o PAGSEGURO, a seu exclusivo critério, reter o saldo existente no Registro de Serviço do Vendedor, em valor suficiente a cobrir eventuais riscos que possam ser gerados aos Compradores e/ao próprio PAGSEGURO em razão das Transações realizadas por meio do Serviço.</w:t>
      </w:r>
    </w:p>
    <w:p>
      <w:pPr>
        <w:spacing w:after="60" w:line="360"/>
        <w:ind w:firstLine="850"/>
        <w:jc w:val="both"/>
      </w:pPr>
      <w:r>
        <w:t xml:space="preserve">A cláusula 5.10 pressupõe </w:t>
      </w:r>
      <w:r>
        <w:rPr>
          <w:b/>
          <w:bCs/>
          <w:u w:val="single"/>
          <w:shd w:fill="CFE2F3" w:color="auto" w:val="clear"/>
        </w:rPr>
        <w:t xml:space="preserve">indício concreto</w:t>
      </w:r>
      <w:r>
        <w:t xml:space="preserve"> de ilicitude, que a ré jamais apontou, e autoriza bloqueio apenas </w:t>
      </w:r>
      <w:r>
        <w:rPr>
          <w:b/>
          <w:bCs/>
          <w:u w:val="single"/>
          <w:shd w:fill="CFE2F3" w:color="auto" w:val="clear"/>
        </w:rPr>
        <w:t xml:space="preserve">provisório</w:t>
      </w:r>
      <w:r>
        <w:t xml:space="preserve">, “até que se esclareça a situação”, devendo a instituição, se não esclarecida “em prazo razoável”, levar o caso às autoridades competentes. Passados quase dois anos, a ré nem esclareceu a situação, nem comunicou aos autores qualquer providência junto a autoridades. A cláusula 14.4 trata apenas da rescisão do contrato e nada dispõe sobre a apropriação do saldo. Já a cláusula 5.15.3 limita a retenção ao valor “suficiente a cobrir eventuais riscos” decorrentes das transações, o que pressupõe a indicação de risco concreto (como estornos ou contestações de compradores) e jamais autoriza a retenção integral e por tempo indeterminado de todo o saldo, sobretudo após o encerramento do contrato, quando não há mais transações em curso.</w:t>
      </w:r>
    </w:p>
    <w:p>
      <w:pPr>
        <w:spacing w:after="60" w:line="360"/>
        <w:ind w:firstLine="850"/>
        <w:jc w:val="both"/>
      </w:pPr>
      <w:r>
        <w:t xml:space="preserve">De todo modo, cláusulas redigidas unilateralmente pelo fornecedor devem ser interpretadas da maneira mais favorável ao consumidor (art. 47 do CDC) e à luz da boa-fé objetiva e da função social do contrato (arts. 421 e 422 do Código Civil). Lidas como pretende a ré, isto é, como autorização para reter indefinidamente, “a seu exclusivo critério”, recursos do cliente, seriam nulas de pleno direito, por colocarem o consumidor em desvantagem exagerada e sujeitarem a obrigação ao puro arbítrio de uma das partes (art. 51, IV, do CDC e art. 122 do Código Civil).</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assentaram a 1ª e a 3ª Turmas Recursais do TJPI nos precedentes acima transcritos,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genérica invocação de “medidas de segurança”,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Registros do encerramento das contas e e-mails recebidos da ré;]</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e resposta de 20/03/2025;]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dos RIs nº 0800939-21.2025.8.18.0057 e nº 0803814-42.2022.8.18.0162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