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both"/>
      </w:pPr>
      <w:r>
        <w:rPr>
          <w:b/>
          <w:bCs/>
        </w:rPr>
        <w:t xml:space="preserve">EXCELENTÍSSIMO(A) SENHOR(A) DOUTOR(A) JUIZ(A) DE DIREITO DA </w:t>
      </w:r>
      <w:r>
        <w:rPr>
          <w:b/>
          <w:bCs/>
          <w:highlight w:val="yellow"/>
        </w:rPr>
        <w:t xml:space="preserve">[__]</w:t>
      </w:r>
      <w:r>
        <w:rPr>
          <w:b/>
          <w:bCs/>
        </w:rPr>
        <w:t xml:space="preserve">ª VARA CÍVEL DA COMARCA DE </w:t>
      </w:r>
      <w:r>
        <w:rPr>
          <w:b/>
          <w:bCs/>
          <w:highlight w:val="yellow"/>
        </w:rPr>
        <w:t xml:space="preserve">[CIDADE/UF]</w:t>
      </w:r>
    </w:p>
    <w:p>
      <w:pPr>
        <w:spacing w:after="0" w:line="360"/>
        <w:jc w:val="both"/>
      </w:pPr>
      <w:r>
        <w:rPr>
          <w:highlight w:val="yellow"/>
        </w:rPr>
        <w:t xml:space="preserve">[NOME COMPLETO]</w:t>
      </w:r>
      <w:r>
        <w:rPr/>
        <w:t xml:space="preserve">, </w:t>
      </w:r>
      <w:r>
        <w:rPr>
          <w:highlight w:val="yellow"/>
        </w:rPr>
        <w:t xml:space="preserve">[nacionalidade]</w:t>
      </w:r>
      <w:r>
        <w:rPr/>
        <w:t xml:space="preserve">, </w:t>
      </w:r>
      <w:r>
        <w:rPr>
          <w:highlight w:val="yellow"/>
        </w:rPr>
        <w:t xml:space="preserve">[estado civil]</w:t>
      </w:r>
      <w:r>
        <w:rPr/>
        <w:t xml:space="preserve">, </w:t>
      </w:r>
      <w:r>
        <w:rPr>
          <w:highlight w:val="yellow"/>
        </w:rPr>
        <w:t xml:space="preserve">[profissão]</w:t>
      </w:r>
      <w:r>
        <w:rPr/>
        <w:t xml:space="preserve">, portador(a) do RG nº </w:t>
      </w:r>
      <w:r>
        <w:rPr>
          <w:highlight w:val="yellow"/>
        </w:rPr>
        <w:t xml:space="preserve">[__]</w:t>
      </w:r>
      <w:r>
        <w:rPr/>
        <w:t xml:space="preserve">, inscrito(a) no CPF sob nº </w:t>
      </w:r>
      <w:r>
        <w:rPr>
          <w:highlight w:val="yellow"/>
        </w:rPr>
        <w:t xml:space="preserve">[__]</w:t>
      </w:r>
      <w:r>
        <w:rPr/>
        <w:t xml:space="preserve">, residente e domiciliado(a) à Rua </w:t>
      </w:r>
      <w:r>
        <w:rPr>
          <w:highlight w:val="yellow"/>
        </w:rPr>
        <w:t xml:space="preserve">[__]</w:t>
      </w:r>
      <w:r>
        <w:rPr/>
        <w:t xml:space="preserve">, nº </w:t>
      </w:r>
      <w:r>
        <w:rPr>
          <w:highlight w:val="yellow"/>
        </w:rPr>
        <w:t xml:space="preserve">[__]</w:t>
      </w:r>
      <w:r>
        <w:rPr/>
        <w:t xml:space="preserve">, Bairro </w:t>
      </w:r>
      <w:r>
        <w:rPr>
          <w:highlight w:val="yellow"/>
        </w:rPr>
        <w:t xml:space="preserve">[__]</w:t>
      </w:r>
      <w:r>
        <w:rPr/>
        <w:t xml:space="preserve">, na cidade de </w:t>
      </w:r>
      <w:r>
        <w:rPr>
          <w:highlight w:val="yellow"/>
        </w:rPr>
        <w:t xml:space="preserve">[__/UF]</w:t>
      </w:r>
      <w:r>
        <w:rPr/>
        <w:t xml:space="preserve">, CEP </w:t>
      </w:r>
      <w:r>
        <w:rPr>
          <w:highlight w:val="yellow"/>
        </w:rPr>
        <w:t xml:space="preserve">[__]</w:t>
      </w:r>
      <w:r>
        <w:rPr/>
        <w:t xml:space="preserve">, endereço eletrônico </w:t>
      </w:r>
      <w:r>
        <w:rPr>
          <w:highlight w:val="yellow"/>
        </w:rPr>
        <w:t xml:space="preserve">[__]</w:t>
      </w:r>
      <w:r>
        <w:rPr/>
        <w:t xml:space="preserve">, por meio de seu advogado, ANTÔNIO DE PÁDUA SANTOS NETO, advogado, inscrito nos quadros da OAB-PI sob o nº 21.320, constituído mediante procuração em anexo, cujo endereço físico está situado na Rua Rio Grande do Sul, nº 1641, Bairro São Miguel, Miguel Alves-PI, CEP nº: 64.130-000 e eletrônico: paduanetojus@gmail.com, vem, respeitosamente, à presença de Vossa Excelência, com fundamento nos arts. 6º, XI e XII, 54-A, 54-D, 104-A e 104-B do Código de Defesa do Consumidor (incluídos pela Lei nº 14.181/2021), propor a presente</w:t>
      </w:r>
    </w:p>
    <w:p>
      <w:pPr>
        <w:spacing w:before="120" w:after="120" w:line="360"/>
        <w:jc w:val="center"/>
      </w:pPr>
      <w:r>
        <w:rPr>
          <w:b/>
          <w:bCs/>
        </w:rPr>
        <w:t xml:space="preserve">AÇÃO DE REPACTUAÇÃO DE DÍVIDAS (SUPERENDIVIDAMENTO) COM PEDIDO DE TUTELA DE URGÊNCIA</w:t>
      </w:r>
    </w:p>
    <w:p>
      <w:pPr>
        <w:spacing w:after="60" w:line="360"/>
        <w:ind w:firstLine="850"/>
        <w:jc w:val="both"/>
      </w:pPr>
      <w:r>
        <w:rPr/>
        <w:t xml:space="preserve">em face de </w:t>
      </w:r>
      <w:r>
        <w:rPr>
          <w:b/>
          <w:bCs/>
          <w:highlight w:val="yellow"/>
        </w:rPr>
        <w:t xml:space="preserve">[BANCO __]</w:t>
      </w:r>
      <w:r>
        <w:rPr/>
        <w:t xml:space="preserve">, pessoa jurídica de direito privado, inscrita no CNPJ sob nº </w:t>
      </w:r>
      <w:r>
        <w:rPr>
          <w:highlight w:val="yellow"/>
        </w:rPr>
        <w:t xml:space="preserve">[__]</w:t>
      </w:r>
      <w:r>
        <w:rPr/>
        <w:t xml:space="preserve">, com sede na </w:t>
      </w:r>
      <w:r>
        <w:rPr>
          <w:highlight w:val="yellow"/>
        </w:rPr>
        <w:t xml:space="preserve">[__]</w:t>
      </w:r>
      <w:r>
        <w:rPr/>
        <w:t xml:space="preserve">, nº </w:t>
      </w:r>
      <w:r>
        <w:rPr>
          <w:highlight w:val="yellow"/>
        </w:rPr>
        <w:t xml:space="preserve">[__]</w:t>
      </w:r>
      <w:r>
        <w:rPr/>
        <w:t xml:space="preserve">, na cidade de </w:t>
      </w:r>
      <w:r>
        <w:rPr>
          <w:highlight w:val="yellow"/>
        </w:rPr>
        <w:t xml:space="preserve">[__/UF]</w:t>
      </w:r>
      <w:r>
        <w:rPr/>
        <w:t xml:space="preserve">, CEP </w:t>
      </w:r>
      <w:r>
        <w:rPr>
          <w:highlight w:val="yellow"/>
        </w:rPr>
        <w:t xml:space="preserve">[__]</w:t>
      </w:r>
      <w:r>
        <w:rPr/>
        <w:t xml:space="preserve">, endereço eletrônico </w:t>
      </w:r>
      <w:r>
        <w:rPr>
          <w:highlight w:val="yellow"/>
        </w:rPr>
        <w:t xml:space="preserve">[__]</w:t>
      </w:r>
      <w:r>
        <w:rPr/>
        <w:t xml:space="preserve">, pelos fundamentos fáticos e jurídicos a seguir expostos.</w:t>
      </w:r>
    </w:p>
    <w:p>
      <w:pPr>
        <w:keepNext/>
        <w:shd w:fill="123BB8" w:color="auto" w:val="clear"/>
        <w:tabs>
          <w:tab w:val="left" w:pos="1000"/>
        </w:tabs>
        <w:spacing w:after="240" w:before="360" w:line="360"/>
        <w:ind w:left="0"/>
      </w:pPr>
      <w:r>
        <w:rPr>
          <w:b/>
          <w:bCs/>
          <w:i/>
          <w:iCs/>
          <w:color w:val="FFFFFF"/>
        </w:rPr>
        <w:t xml:space="preserve">	Da gratuidade da justiça.</w:t>
      </w:r>
    </w:p>
    <w:p>
      <w:pPr>
        <w:spacing w:after="60" w:line="360"/>
        <w:ind w:firstLine="850"/>
        <w:jc w:val="both"/>
      </w:pPr>
      <w:r>
        <w:rPr/>
        <w:t xml:space="preserve">Requer o Autor a concessão dos benefícios da gratuidade da justiça, com fundamento no art. 5º, LXXIV, da Constituição Federal e nos arts. 98 e 99 do Código de Processo Civil, por não dispor de condições de arcar com as custas e despesas processuais sem prejuízo do próprio sustento, sendo presumivelmente verdadeira a alegação de insuficiência deduzida por pessoa natural (art. 99, § 3º, do CPC).</w:t>
      </w:r>
    </w:p>
    <w:p>
      <w:pPr>
        <w:spacing w:after="60" w:line="360"/>
        <w:ind w:firstLine="850"/>
        <w:jc w:val="both"/>
      </w:pPr>
      <w:r>
        <w:rPr/>
        <w:t xml:space="preserve">A hipossuficiência é corroborada pelos inclusos extratos do INSS (doc. </w:t>
      </w:r>
      <w:r>
        <w:rPr>
          <w:highlight w:val="yellow"/>
        </w:rPr>
        <w:t xml:space="preserve">[__]</w:t>
      </w:r>
      <w:r>
        <w:rPr/>
        <w:t xml:space="preserve">), dos quais consta ser o Autor beneficiário de </w:t>
      </w:r>
      <w:r>
        <w:rPr>
          <w:highlight w:val="yellow"/>
        </w:rPr>
        <w:t xml:space="preserve">[espécie do benefício – ex.: aposentadoria por incapacidade permanente – acidente de trabalho]</w:t>
      </w:r>
      <w:r>
        <w:rPr/>
        <w:t xml:space="preserve">, no valor mensal de R$ </w:t>
      </w:r>
      <w:r>
        <w:rPr>
          <w:highlight w:val="yellow"/>
        </w:rPr>
        <w:t xml:space="preserve">[__]</w:t>
      </w:r>
      <w:r>
        <w:rPr/>
        <w:t xml:space="preserve"> (</w:t>
      </w:r>
      <w:r>
        <w:rPr>
          <w:highlight w:val="yellow"/>
        </w:rPr>
        <w:t xml:space="preserve">[valor por extenso]</w:t>
      </w:r>
      <w:r>
        <w:rPr/>
        <w:t xml:space="preserve">), quantia integralmente comprometida com o pagamento de empréstimos e de despesas básicas, conforme extratos do INSS, extratos bancários e comprovantes de dívidas em anexo (doc. </w:t>
      </w:r>
      <w:r>
        <w:rPr>
          <w:highlight w:val="yellow"/>
        </w:rPr>
        <w:t xml:space="preserve">[__]</w:t>
      </w:r>
      <w:r>
        <w:rPr/>
        <w:t xml:space="preserve">).</w:t>
      </w:r>
    </w:p>
    <w:p>
      <w:pPr>
        <w:spacing w:after="60" w:line="360"/>
        <w:ind w:firstLine="850"/>
        <w:jc w:val="both"/>
      </w:pPr>
      <w:r>
        <w:rPr/>
        <w:t xml:space="preserve">Dessa forma, requer a concessão dos benefícios da gratuidade da justiça, uma vez preenchidos os requisitos legais.</w:t>
      </w:r>
    </w:p>
    <w:p>
      <w:pPr>
        <w:keepNext/>
        <w:shd w:fill="123BB8" w:color="auto" w:val="clear"/>
        <w:tabs>
          <w:tab w:val="left" w:pos="1000"/>
        </w:tabs>
        <w:spacing w:after="240" w:before="360" w:line="360"/>
        <w:ind w:left="0"/>
      </w:pPr>
      <w:r>
        <w:rPr>
          <w:b/>
          <w:bCs/>
          <w:i/>
          <w:iCs/>
          <w:color w:val="FFFFFF"/>
        </w:rPr>
        <w:t xml:space="preserve">	Dos fatos.</w:t>
      </w:r>
    </w:p>
    <w:p>
      <w:pPr>
        <w:spacing w:after="60" w:line="360"/>
        <w:ind w:firstLine="850"/>
        <w:jc w:val="both"/>
      </w:pPr>
      <w:r>
        <w:rPr/>
        <w:t xml:space="preserve">O Autor é </w:t>
      </w:r>
      <w:r>
        <w:rPr>
          <w:highlight w:val="yellow"/>
        </w:rPr>
        <w:t xml:space="preserve">[pessoa com deficiência física]</w:t>
      </w:r>
      <w:r>
        <w:rPr/>
        <w:t xml:space="preserve">, </w:t>
      </w:r>
      <w:r>
        <w:rPr>
          <w:highlight w:val="yellow"/>
        </w:rPr>
        <w:t xml:space="preserve">[aposentado por incapacidade permanente – acidente de trabalho]</w:t>
      </w:r>
      <w:r>
        <w:rPr/>
        <w:t xml:space="preserve"> junto ao INSS, NB </w:t>
      </w:r>
      <w:r>
        <w:rPr>
          <w:highlight w:val="yellow"/>
        </w:rPr>
        <w:t xml:space="preserve">[__]</w:t>
      </w:r>
      <w:r>
        <w:rPr/>
        <w:t xml:space="preserve">, e percebe mensalmente o valor de R$ </w:t>
      </w:r>
      <w:r>
        <w:rPr>
          <w:highlight w:val="yellow"/>
        </w:rPr>
        <w:t xml:space="preserve">[__]</w:t>
      </w:r>
      <w:r>
        <w:rPr/>
        <w:t xml:space="preserve"> (</w:t>
      </w:r>
      <w:r>
        <w:rPr>
          <w:highlight w:val="yellow"/>
        </w:rPr>
        <w:t xml:space="preserve">[valor por extenso]</w:t>
      </w:r>
      <w:r>
        <w:rPr/>
        <w:t xml:space="preserve">), consoante histórico de créditos do INSS em anexo (doc. </w:t>
      </w:r>
      <w:r>
        <w:rPr>
          <w:highlight w:val="yellow"/>
        </w:rPr>
        <w:t xml:space="preserve">[__]</w:t>
      </w:r>
      <w:r>
        <w:rPr/>
        <w:t xml:space="preserve">).</w:t>
      </w:r>
    </w:p>
    <w:p>
      <w:pPr>
        <w:spacing w:after="60" w:line="360"/>
        <w:ind w:firstLine="850"/>
        <w:jc w:val="both"/>
      </w:pPr>
      <w:r>
        <w:rPr/>
        <w:t xml:space="preserve">O Autor possui </w:t>
      </w:r>
      <w:r>
        <w:rPr>
          <w:highlight w:val="yellow"/>
        </w:rPr>
        <w:t xml:space="preserve">[__]</w:t>
      </w:r>
      <w:r>
        <w:rPr/>
        <w:t xml:space="preserve"> cartão(ões) de crédito consignado(s) e </w:t>
      </w:r>
      <w:r>
        <w:rPr>
          <w:highlight w:val="yellow"/>
        </w:rPr>
        <w:t xml:space="preserve">[__]</w:t>
      </w:r>
      <w:r>
        <w:rPr/>
        <w:t xml:space="preserve"> empréstimo(s) consignado(s) ativos junto ao Banco Réu, atrelados ao seu benefício previdenciário, cujas parcelas mensais somam R$ </w:t>
      </w:r>
      <w:r>
        <w:rPr>
          <w:highlight w:val="yellow"/>
        </w:rPr>
        <w:t xml:space="preserve">[__]</w:t>
      </w:r>
      <w:r>
        <w:rPr/>
        <w:t xml:space="preserve"> (</w:t>
      </w:r>
      <w:r>
        <w:rPr>
          <w:highlight w:val="yellow"/>
        </w:rPr>
        <w:t xml:space="preserve">[valor por extenso]</w:t>
      </w:r>
      <w:r>
        <w:rPr/>
        <w:t xml:space="preserve">), conforme o quadro abaixo e o incluso histórico de empréstimo consignado do INSS (doc. </w:t>
      </w:r>
      <w:r>
        <w:rPr>
          <w:highlight w:val="yellow"/>
        </w:rPr>
        <w:t xml:space="preserve">[__]</w:t>
      </w:r>
      <w:r>
        <w:rPr/>
        <w:t xml:space="preserve">):</w:t>
      </w:r>
    </w:p>
    <w:tbl>
      <w:tblPr>
        <w:tblW w:type="dxa" w:w="8950"/>
        <w:jc w:val="center"/>
      </w:tblPr>
      <w:tblGrid>
        <w:gridCol w:w="2237"/>
        <w:gridCol w:w="2237"/>
        <w:gridCol w:w="2237"/>
        <w:gridCol w:w="2237"/>
      </w:tblGrid>
      <w:tr>
        <w:trPr>
          <w:tblHeader/>
        </w:trPr>
        <w:tc>
          <w:tcPr>
            <w:tcW w:type="dxa" w:w="2237"/>
            <w:tcBorders>
              <w:top w:val="single" w:color="9AA0A6" w:sz="4"/>
              <w:left w:val="single" w:color="9AA0A6" w:sz="4"/>
              <w:bottom w:val="single" w:color="9AA0A6" w:sz="4"/>
              <w:right w:val="single" w:color="9AA0A6" w:sz="4"/>
            </w:tcBorders>
            <w:shd w:fill="123BB8" w:color="auto" w:val="clear"/>
            <w:tcMar>
              <w:top w:type="dxa" w:w="60"/>
              <w:left w:type="dxa" w:w="100"/>
              <w:bottom w:type="dxa" w:w="60"/>
              <w:right w:type="dxa" w:w="100"/>
            </w:tcMar>
            <w:vAlign w:val="center"/>
          </w:tcPr>
          <w:p>
            <w:pPr>
              <w:spacing w:after="0" w:line="240"/>
              <w:jc w:val="center"/>
            </w:pPr>
            <w:r>
              <w:rPr>
                <w:sz w:val="17"/>
                <w:szCs w:val="17"/>
                <w:b/>
                <w:bCs/>
                <w:color w:val="FFFFFF"/>
              </w:rPr>
              <w:t xml:space="preserve">Contrato</w:t>
            </w:r>
          </w:p>
        </w:tc>
        <w:tc>
          <w:tcPr>
            <w:tcW w:type="dxa" w:w="2237"/>
            <w:tcBorders>
              <w:top w:val="single" w:color="9AA0A6" w:sz="4"/>
              <w:left w:val="single" w:color="9AA0A6" w:sz="4"/>
              <w:bottom w:val="single" w:color="9AA0A6" w:sz="4"/>
              <w:right w:val="single" w:color="9AA0A6" w:sz="4"/>
            </w:tcBorders>
            <w:shd w:fill="123BB8" w:color="auto" w:val="clear"/>
            <w:tcMar>
              <w:top w:type="dxa" w:w="60"/>
              <w:left w:type="dxa" w:w="100"/>
              <w:bottom w:type="dxa" w:w="60"/>
              <w:right w:type="dxa" w:w="100"/>
            </w:tcMar>
            <w:vAlign w:val="center"/>
          </w:tcPr>
          <w:p>
            <w:pPr>
              <w:spacing w:after="0" w:line="240"/>
              <w:jc w:val="center"/>
            </w:pPr>
            <w:r>
              <w:rPr>
                <w:sz w:val="17"/>
                <w:szCs w:val="17"/>
                <w:b/>
                <w:bCs/>
                <w:color w:val="FFFFFF"/>
              </w:rPr>
              <w:t xml:space="preserve">Modalidade</w:t>
            </w:r>
          </w:p>
        </w:tc>
        <w:tc>
          <w:tcPr>
            <w:tcW w:type="dxa" w:w="2237"/>
            <w:tcBorders>
              <w:top w:val="single" w:color="9AA0A6" w:sz="4"/>
              <w:left w:val="single" w:color="9AA0A6" w:sz="4"/>
              <w:bottom w:val="single" w:color="9AA0A6" w:sz="4"/>
              <w:right w:val="single" w:color="9AA0A6" w:sz="4"/>
            </w:tcBorders>
            <w:shd w:fill="123BB8" w:color="auto" w:val="clear"/>
            <w:tcMar>
              <w:top w:type="dxa" w:w="60"/>
              <w:left w:type="dxa" w:w="100"/>
              <w:bottom w:type="dxa" w:w="60"/>
              <w:right w:type="dxa" w:w="100"/>
            </w:tcMar>
            <w:vAlign w:val="center"/>
          </w:tcPr>
          <w:p>
            <w:pPr>
              <w:spacing w:after="0" w:line="240"/>
              <w:jc w:val="center"/>
            </w:pPr>
            <w:r>
              <w:rPr>
                <w:sz w:val="17"/>
                <w:szCs w:val="17"/>
                <w:b/>
                <w:bCs/>
                <w:color w:val="FFFFFF"/>
              </w:rPr>
              <w:t xml:space="preserve">Parcela mensal</w:t>
            </w:r>
          </w:p>
        </w:tc>
        <w:tc>
          <w:tcPr>
            <w:tcW w:type="dxa" w:w="2237"/>
            <w:tcBorders>
              <w:top w:val="single" w:color="9AA0A6" w:sz="4"/>
              <w:left w:val="single" w:color="9AA0A6" w:sz="4"/>
              <w:bottom w:val="single" w:color="9AA0A6" w:sz="4"/>
              <w:right w:val="single" w:color="9AA0A6" w:sz="4"/>
            </w:tcBorders>
            <w:shd w:fill="123BB8" w:color="auto" w:val="clear"/>
            <w:tcMar>
              <w:top w:type="dxa" w:w="60"/>
              <w:left w:type="dxa" w:w="100"/>
              <w:bottom w:type="dxa" w:w="60"/>
              <w:right w:type="dxa" w:w="100"/>
            </w:tcMar>
            <w:vAlign w:val="center"/>
          </w:tcPr>
          <w:p>
            <w:pPr>
              <w:spacing w:after="0" w:line="240"/>
              <w:jc w:val="center"/>
            </w:pPr>
            <w:r>
              <w:rPr>
                <w:sz w:val="17"/>
                <w:szCs w:val="17"/>
                <w:b/>
                <w:bCs/>
                <w:color w:val="FFFFFF"/>
              </w:rPr>
              <w:t xml:space="preserve">Prazo/parcelas restantes</w:t>
            </w:r>
          </w:p>
        </w:tc>
      </w:tr>
      <w:tr>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left"/>
            </w:pPr>
            <w:r>
              <w:rPr>
                <w:sz w:val="17"/>
                <w:szCs w:val="17"/>
                <w:highlight w:val="yellow"/>
              </w:rPr>
              <w:t xml:space="preserve">[nº __]</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highlight w:val="yellow"/>
              </w:rPr>
              <w:t xml:space="preserve">[Empréstimo consignado]</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rPr>
              <w:t xml:space="preserve">R$ </w:t>
            </w:r>
            <w:r>
              <w:rPr>
                <w:sz w:val="17"/>
                <w:szCs w:val="17"/>
                <w:highlight w:val="yellow"/>
              </w:rPr>
              <w:t xml:space="preserve">[__]</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highlight w:val="yellow"/>
              </w:rPr>
              <w:t xml:space="preserve">[__]</w:t>
            </w:r>
          </w:p>
        </w:tc>
      </w:tr>
      <w:tr>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left"/>
            </w:pPr>
            <w:r>
              <w:rPr>
                <w:sz w:val="17"/>
                <w:szCs w:val="17"/>
                <w:highlight w:val="yellow"/>
              </w:rPr>
              <w:t xml:space="preserve">[nº __]</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highlight w:val="yellow"/>
              </w:rPr>
              <w:t xml:space="preserve">[Cartão de crédito consignado – RMC]</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rPr>
              <w:t xml:space="preserve">R$ </w:t>
            </w:r>
            <w:r>
              <w:rPr>
                <w:sz w:val="17"/>
                <w:szCs w:val="17"/>
                <w:highlight w:val="yellow"/>
              </w:rPr>
              <w:t xml:space="preserve">[__]</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highlight w:val="yellow"/>
              </w:rPr>
              <w:t xml:space="preserve">[__]</w:t>
            </w:r>
          </w:p>
        </w:tc>
      </w:tr>
      <w:tr>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left"/>
            </w:pPr>
            <w:r>
              <w:rPr>
                <w:sz w:val="17"/>
                <w:szCs w:val="17"/>
                <w:highlight w:val="yellow"/>
              </w:rPr>
              <w:t xml:space="preserve">[nº __]</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highlight w:val="yellow"/>
              </w:rPr>
              <w:t xml:space="preserve">[Cartão consignado de benefício – RCC]</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rPr>
              <w:t xml:space="preserve">R$ </w:t>
            </w:r>
            <w:r>
              <w:rPr>
                <w:sz w:val="17"/>
                <w:szCs w:val="17"/>
                <w:highlight w:val="yellow"/>
              </w:rPr>
              <w:t xml:space="preserve">[__]</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highlight w:val="yellow"/>
              </w:rPr>
              <w:t xml:space="preserve">[__]</w:t>
            </w:r>
          </w:p>
        </w:tc>
      </w:tr>
      <w:tr>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left"/>
            </w:pPr>
            <w:r>
              <w:rPr>
                <w:sz w:val="17"/>
                <w:szCs w:val="17"/>
                <w:b/>
                <w:bCs/>
              </w:rPr>
              <w:t xml:space="preserve">Total</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b/>
                <w:bCs/>
              </w:rPr>
              <w:t xml:space="preserve">R$ </w:t>
            </w:r>
            <w:r>
              <w:rPr>
                <w:sz w:val="17"/>
                <w:szCs w:val="17"/>
                <w:b/>
                <w:bCs/>
                <w:highlight w:val="yellow"/>
              </w:rPr>
              <w:t xml:space="preserve">[__]</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p>
        </w:tc>
      </w:tr>
    </w:tbl>
    <w:p>
      <w:pPr>
        <w:spacing w:after="120"/>
      </w:pPr>
    </w:p>
    <w:p>
      <w:pPr>
        <w:spacing w:after="60" w:line="360"/>
        <w:ind w:firstLine="850"/>
        <w:jc w:val="both"/>
      </w:pPr>
      <w:r>
        <w:rPr/>
        <w:t xml:space="preserve">Após o desconto dos consignados, o INSS deposita o saldo do benefício na conta corrente do Autor mantida junto ao Banco Réu, Agência </w:t>
      </w:r>
      <w:r>
        <w:rPr>
          <w:highlight w:val="yellow"/>
        </w:rPr>
        <w:t xml:space="preserve">[__]</w:t>
      </w:r>
      <w:r>
        <w:rPr/>
        <w:t xml:space="preserve">, Conta </w:t>
      </w:r>
      <w:r>
        <w:rPr>
          <w:highlight w:val="yellow"/>
        </w:rPr>
        <w:t xml:space="preserve">[__]</w:t>
      </w:r>
      <w:r>
        <w:rPr/>
        <w:t xml:space="preserve">, da qual são imediatamente debitadas as parcelas de </w:t>
      </w:r>
      <w:r>
        <w:rPr>
          <w:highlight w:val="yellow"/>
        </w:rPr>
        <w:t xml:space="preserve">[__]</w:t>
      </w:r>
      <w:r>
        <w:rPr/>
        <w:t xml:space="preserve"> empréstimos pessoais contratados com o Réu, cuja soma mensal é de R$ </w:t>
      </w:r>
      <w:r>
        <w:rPr>
          <w:highlight w:val="yellow"/>
        </w:rPr>
        <w:t xml:space="preserve">[__]</w:t>
      </w:r>
      <w:r>
        <w:rPr/>
        <w:t xml:space="preserve"> (</w:t>
      </w:r>
      <w:r>
        <w:rPr>
          <w:highlight w:val="yellow"/>
        </w:rPr>
        <w:t xml:space="preserve">[valor por extenso]</w:t>
      </w:r>
      <w:r>
        <w:rPr/>
        <w:t xml:space="preserve">), conforme demonstram os inclusos extratos bancários (doc. </w:t>
      </w:r>
      <w:r>
        <w:rPr>
          <w:highlight w:val="yellow"/>
        </w:rPr>
        <w:t xml:space="preserve">[__]</w:t>
      </w:r>
      <w:r>
        <w:rPr/>
        <w:t xml:space="preserve">) e o quadro abaixo:</w:t>
      </w:r>
    </w:p>
    <w:tbl>
      <w:tblPr>
        <w:tblW w:type="dxa" w:w="8950"/>
        <w:jc w:val="center"/>
      </w:tblPr>
      <w:tblGrid>
        <w:gridCol w:w="2237"/>
        <w:gridCol w:w="2237"/>
        <w:gridCol w:w="2237"/>
        <w:gridCol w:w="2237"/>
      </w:tblGrid>
      <w:tr>
        <w:trPr>
          <w:tblHeader/>
        </w:trPr>
        <w:tc>
          <w:tcPr>
            <w:tcW w:type="dxa" w:w="2237"/>
            <w:tcBorders>
              <w:top w:val="single" w:color="9AA0A6" w:sz="4"/>
              <w:left w:val="single" w:color="9AA0A6" w:sz="4"/>
              <w:bottom w:val="single" w:color="9AA0A6" w:sz="4"/>
              <w:right w:val="single" w:color="9AA0A6" w:sz="4"/>
            </w:tcBorders>
            <w:shd w:fill="123BB8" w:color="auto" w:val="clear"/>
            <w:tcMar>
              <w:top w:type="dxa" w:w="60"/>
              <w:left w:type="dxa" w:w="100"/>
              <w:bottom w:type="dxa" w:w="60"/>
              <w:right w:type="dxa" w:w="100"/>
            </w:tcMar>
            <w:vAlign w:val="center"/>
          </w:tcPr>
          <w:p>
            <w:pPr>
              <w:spacing w:after="0" w:line="240"/>
              <w:jc w:val="center"/>
            </w:pPr>
            <w:r>
              <w:rPr>
                <w:sz w:val="17"/>
                <w:szCs w:val="17"/>
                <w:b/>
                <w:bCs/>
                <w:color w:val="FFFFFF"/>
              </w:rPr>
              <w:t xml:space="preserve">Contrato</w:t>
            </w:r>
          </w:p>
        </w:tc>
        <w:tc>
          <w:tcPr>
            <w:tcW w:type="dxa" w:w="2237"/>
            <w:tcBorders>
              <w:top w:val="single" w:color="9AA0A6" w:sz="4"/>
              <w:left w:val="single" w:color="9AA0A6" w:sz="4"/>
              <w:bottom w:val="single" w:color="9AA0A6" w:sz="4"/>
              <w:right w:val="single" w:color="9AA0A6" w:sz="4"/>
            </w:tcBorders>
            <w:shd w:fill="123BB8" w:color="auto" w:val="clear"/>
            <w:tcMar>
              <w:top w:type="dxa" w:w="60"/>
              <w:left w:type="dxa" w:w="100"/>
              <w:bottom w:type="dxa" w:w="60"/>
              <w:right w:type="dxa" w:w="100"/>
            </w:tcMar>
            <w:vAlign w:val="center"/>
          </w:tcPr>
          <w:p>
            <w:pPr>
              <w:spacing w:after="0" w:line="240"/>
              <w:jc w:val="center"/>
            </w:pPr>
            <w:r>
              <w:rPr>
                <w:sz w:val="17"/>
                <w:szCs w:val="17"/>
                <w:b/>
                <w:bCs/>
                <w:color w:val="FFFFFF"/>
              </w:rPr>
              <w:t xml:space="preserve">Modalidade</w:t>
            </w:r>
          </w:p>
        </w:tc>
        <w:tc>
          <w:tcPr>
            <w:tcW w:type="dxa" w:w="2237"/>
            <w:tcBorders>
              <w:top w:val="single" w:color="9AA0A6" w:sz="4"/>
              <w:left w:val="single" w:color="9AA0A6" w:sz="4"/>
              <w:bottom w:val="single" w:color="9AA0A6" w:sz="4"/>
              <w:right w:val="single" w:color="9AA0A6" w:sz="4"/>
            </w:tcBorders>
            <w:shd w:fill="123BB8" w:color="auto" w:val="clear"/>
            <w:tcMar>
              <w:top w:type="dxa" w:w="60"/>
              <w:left w:type="dxa" w:w="100"/>
              <w:bottom w:type="dxa" w:w="60"/>
              <w:right w:type="dxa" w:w="100"/>
            </w:tcMar>
            <w:vAlign w:val="center"/>
          </w:tcPr>
          <w:p>
            <w:pPr>
              <w:spacing w:after="0" w:line="240"/>
              <w:jc w:val="center"/>
            </w:pPr>
            <w:r>
              <w:rPr>
                <w:sz w:val="17"/>
                <w:szCs w:val="17"/>
                <w:b/>
                <w:bCs/>
                <w:color w:val="FFFFFF"/>
              </w:rPr>
              <w:t xml:space="preserve">Parcela mensal</w:t>
            </w:r>
          </w:p>
        </w:tc>
        <w:tc>
          <w:tcPr>
            <w:tcW w:type="dxa" w:w="2237"/>
            <w:tcBorders>
              <w:top w:val="single" w:color="9AA0A6" w:sz="4"/>
              <w:left w:val="single" w:color="9AA0A6" w:sz="4"/>
              <w:bottom w:val="single" w:color="9AA0A6" w:sz="4"/>
              <w:right w:val="single" w:color="9AA0A6" w:sz="4"/>
            </w:tcBorders>
            <w:shd w:fill="123BB8" w:color="auto" w:val="clear"/>
            <w:tcMar>
              <w:top w:type="dxa" w:w="60"/>
              <w:left w:type="dxa" w:w="100"/>
              <w:bottom w:type="dxa" w:w="60"/>
              <w:right w:type="dxa" w:w="100"/>
            </w:tcMar>
            <w:vAlign w:val="center"/>
          </w:tcPr>
          <w:p>
            <w:pPr>
              <w:spacing w:after="0" w:line="240"/>
              <w:jc w:val="center"/>
            </w:pPr>
            <w:r>
              <w:rPr>
                <w:sz w:val="17"/>
                <w:szCs w:val="17"/>
                <w:b/>
                <w:bCs/>
                <w:color w:val="FFFFFF"/>
              </w:rPr>
              <w:t xml:space="preserve">Prazo/parcelas restantes</w:t>
            </w:r>
          </w:p>
        </w:tc>
      </w:tr>
      <w:tr>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left"/>
            </w:pPr>
            <w:r>
              <w:rPr>
                <w:sz w:val="17"/>
                <w:szCs w:val="17"/>
                <w:highlight w:val="yellow"/>
              </w:rPr>
              <w:t xml:space="preserve">[nº __]</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highlight w:val="yellow"/>
              </w:rPr>
              <w:t xml:space="preserve">[Empréstimo pessoal – débito em conta]</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rPr>
              <w:t xml:space="preserve">R$ </w:t>
            </w:r>
            <w:r>
              <w:rPr>
                <w:sz w:val="17"/>
                <w:szCs w:val="17"/>
                <w:highlight w:val="yellow"/>
              </w:rPr>
              <w:t xml:space="preserve">[__]</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highlight w:val="yellow"/>
              </w:rPr>
              <w:t xml:space="preserve">[__]</w:t>
            </w:r>
          </w:p>
        </w:tc>
      </w:tr>
      <w:tr>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left"/>
            </w:pPr>
            <w:r>
              <w:rPr>
                <w:sz w:val="17"/>
                <w:szCs w:val="17"/>
                <w:highlight w:val="yellow"/>
              </w:rPr>
              <w:t xml:space="preserve">[nº __]</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highlight w:val="yellow"/>
              </w:rPr>
              <w:t xml:space="preserve">[Empréstimo pessoal – débito em conta]</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rPr>
              <w:t xml:space="preserve">R$ </w:t>
            </w:r>
            <w:r>
              <w:rPr>
                <w:sz w:val="17"/>
                <w:szCs w:val="17"/>
                <w:highlight w:val="yellow"/>
              </w:rPr>
              <w:t xml:space="preserve">[__]</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highlight w:val="yellow"/>
              </w:rPr>
              <w:t xml:space="preserve">[__]</w:t>
            </w:r>
          </w:p>
        </w:tc>
      </w:tr>
      <w:tr>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left"/>
            </w:pPr>
            <w:r>
              <w:rPr>
                <w:sz w:val="17"/>
                <w:szCs w:val="17"/>
                <w:b/>
                <w:bCs/>
              </w:rPr>
              <w:t xml:space="preserve">Total</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b/>
                <w:bCs/>
              </w:rPr>
              <w:t xml:space="preserve">R$ </w:t>
            </w:r>
            <w:r>
              <w:rPr>
                <w:sz w:val="17"/>
                <w:szCs w:val="17"/>
                <w:b/>
                <w:bCs/>
                <w:highlight w:val="yellow"/>
              </w:rPr>
              <w:t xml:space="preserve">[__]</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p>
        </w:tc>
      </w:tr>
    </w:tbl>
    <w:p>
      <w:pPr>
        <w:spacing w:after="120"/>
      </w:pPr>
    </w:p>
    <w:p>
      <w:pPr>
        <w:spacing w:after="60" w:line="360"/>
        <w:ind w:firstLine="850"/>
        <w:jc w:val="both"/>
      </w:pPr>
      <w:r>
        <w:rPr/>
        <w:t xml:space="preserve">Na tentativa de honrar seus compromissos financeiros, o Autor contraiu empréstimos e utilizou cartões de crédito ofertados pelo próprio Requerido, que o procurou com propostas apresentadas como vantajosas — juros supostamente menores e prazos longos —, induzindo-o a crer que conseguiria reorganizar sua vida financeira.</w:t>
      </w:r>
    </w:p>
    <w:p>
      <w:pPr>
        <w:spacing w:after="60" w:line="360"/>
        <w:ind w:firstLine="850"/>
        <w:jc w:val="both"/>
      </w:pPr>
      <w:r>
        <w:rPr/>
        <w:t xml:space="preserve">Contudo, a soma dos descontos mensais desses empréstimos (consignados e pessoais) e dos cartões de crédito tornou o Autor </w:t>
      </w:r>
      <w:r>
        <w:rPr>
          <w:b/>
          <w:bCs/>
        </w:rPr>
        <w:t xml:space="preserve">superendividado</w:t>
      </w:r>
      <w:r>
        <w:rPr/>
        <w:t xml:space="preserve">, pois a totalidade de sua renda mensal está sendo destinada ao pagamento das dívidas mantidas com o Banco Réu, como demonstra a documentação anexa (doc. </w:t>
      </w:r>
      <w:r>
        <w:rPr>
          <w:highlight w:val="yellow"/>
        </w:rPr>
        <w:t xml:space="preserve">[__]</w:t>
      </w:r>
      <w:r>
        <w:rPr/>
        <w:t xml:space="preserve">).</w:t>
      </w:r>
    </w:p>
    <w:p>
      <w:pPr>
        <w:spacing w:after="60" w:line="360"/>
        <w:ind w:firstLine="850"/>
        <w:jc w:val="both"/>
      </w:pPr>
      <w:r>
        <w:rPr/>
        <w:t xml:space="preserve">Para custear a própria subsistência, o Autor vem recorrendo sucessivamente a novos empréstimos, como se observa em seus extratos bancários, pois não lhe resta renda disponível para as necessidades mais básicas. A situação é gravíssima: o Autor está sendo privado do </w:t>
      </w:r>
      <w:r>
        <w:rPr>
          <w:b/>
          <w:bCs/>
        </w:rPr>
        <w:t xml:space="preserve">mínimo existencial</w:t>
      </w:r>
      <w:r>
        <w:rPr/>
        <w:t xml:space="preserve">.</w:t>
      </w:r>
    </w:p>
    <w:p>
      <w:pPr>
        <w:spacing w:after="60" w:line="360"/>
        <w:ind w:firstLine="850"/>
        <w:jc w:val="both"/>
      </w:pPr>
      <w:r>
        <w:rPr>
          <w:highlight w:val="yellow"/>
        </w:rPr>
        <w:t xml:space="preserve">[SE HOUVER FINANCIAMENTO:]</w:t>
      </w:r>
      <w:r>
        <w:rPr/>
        <w:t xml:space="preserve"> Em </w:t>
      </w:r>
      <w:r>
        <w:rPr>
          <w:highlight w:val="yellow"/>
        </w:rPr>
        <w:t xml:space="preserve">[mês/ano]</w:t>
      </w:r>
      <w:r>
        <w:rPr/>
        <w:t xml:space="preserve">, o Autor adquiriu o imóvel em que reside, assumindo as prestações do financiamento existente junto à </w:t>
      </w:r>
      <w:r>
        <w:rPr>
          <w:highlight w:val="yellow"/>
        </w:rPr>
        <w:t xml:space="preserve">[Caixa Econômica Federal]</w:t>
      </w:r>
      <w:r>
        <w:rPr/>
        <w:t xml:space="preserve">, no valor mensal de R$ </w:t>
      </w:r>
      <w:r>
        <w:rPr>
          <w:highlight w:val="yellow"/>
        </w:rPr>
        <w:t xml:space="preserve">[__]</w:t>
      </w:r>
      <w:r>
        <w:rPr/>
        <w:t xml:space="preserve">, conforme documentos colacionados (doc. </w:t>
      </w:r>
      <w:r>
        <w:rPr>
          <w:highlight w:val="yellow"/>
        </w:rPr>
        <w:t xml:space="preserve">[__]</w:t>
      </w:r>
      <w:r>
        <w:rPr/>
        <w:t xml:space="preserve">).</w:t>
      </w:r>
    </w:p>
    <w:p>
      <w:pPr>
        <w:spacing w:after="60" w:line="360"/>
        <w:ind w:firstLine="850"/>
        <w:jc w:val="both"/>
      </w:pPr>
      <w:r>
        <w:rPr/>
        <w:t xml:space="preserve">Conforme comprovantes de pagamento das contas de água, energia elétrica e supermercado, o Autor despende, em média, R$ </w:t>
      </w:r>
      <w:r>
        <w:rPr>
          <w:highlight w:val="yellow"/>
        </w:rPr>
        <w:t xml:space="preserve">[__]</w:t>
      </w:r>
      <w:r>
        <w:rPr/>
        <w:t xml:space="preserve"> com essas despesas essenciais. Além disso, possui gastos mensais de aproximadamente R$ </w:t>
      </w:r>
      <w:r>
        <w:rPr>
          <w:highlight w:val="yellow"/>
        </w:rPr>
        <w:t xml:space="preserve">[__]</w:t>
      </w:r>
      <w:r>
        <w:rPr/>
        <w:t xml:space="preserve"> com medicamentos e fisioterapia, pois sua condição de saúde exige cuidados especiais, como se verifica pelos relatórios médicos, exames de imagem e receituários anexos (doc. </w:t>
      </w:r>
      <w:r>
        <w:rPr>
          <w:highlight w:val="yellow"/>
        </w:rPr>
        <w:t xml:space="preserve">[__]</w:t>
      </w:r>
      <w:r>
        <w:rPr/>
        <w:t xml:space="preserve">).</w:t>
      </w:r>
    </w:p>
    <w:p>
      <w:pPr>
        <w:spacing w:after="60" w:line="360"/>
        <w:ind w:firstLine="850"/>
        <w:jc w:val="both"/>
      </w:pPr>
      <w:r>
        <w:rPr/>
        <w:t xml:space="preserve">Assim, as despesas essenciais do Autor, que compõem concretamente o seu mínimo existencial, somam R$ </w:t>
      </w:r>
      <w:r>
        <w:rPr>
          <w:highlight w:val="yellow"/>
        </w:rPr>
        <w:t xml:space="preserve">[__]</w:t>
      </w:r>
      <w:r>
        <w:rPr/>
        <w:t xml:space="preserve"> (</w:t>
      </w:r>
      <w:r>
        <w:rPr>
          <w:highlight w:val="yellow"/>
        </w:rPr>
        <w:t xml:space="preserve">[valor por extenso]</w:t>
      </w:r>
      <w:r>
        <w:rPr/>
        <w:t xml:space="preserve">):</w:t>
      </w:r>
    </w:p>
    <w:tbl>
      <w:tblPr>
        <w:tblW w:type="dxa" w:w="8950"/>
        <w:jc w:val="center"/>
      </w:tblPr>
      <w:tblGrid>
        <w:gridCol w:w="4475"/>
        <w:gridCol w:w="4475"/>
      </w:tblGrid>
      <w:tr>
        <w:trPr>
          <w:tblHeader/>
        </w:trPr>
        <w:tc>
          <w:tcPr>
            <w:tcW w:type="dxa" w:w="4475"/>
            <w:tcBorders>
              <w:top w:val="single" w:color="9AA0A6" w:sz="4"/>
              <w:left w:val="single" w:color="9AA0A6" w:sz="4"/>
              <w:bottom w:val="single" w:color="9AA0A6" w:sz="4"/>
              <w:right w:val="single" w:color="9AA0A6" w:sz="4"/>
            </w:tcBorders>
            <w:shd w:fill="123BB8" w:color="auto" w:val="clear"/>
            <w:tcMar>
              <w:top w:type="dxa" w:w="60"/>
              <w:left w:type="dxa" w:w="100"/>
              <w:bottom w:type="dxa" w:w="60"/>
              <w:right w:type="dxa" w:w="100"/>
            </w:tcMar>
            <w:vAlign w:val="center"/>
          </w:tcPr>
          <w:p>
            <w:pPr>
              <w:spacing w:after="0" w:line="240"/>
              <w:jc w:val="center"/>
            </w:pPr>
            <w:r>
              <w:rPr>
                <w:sz w:val="17"/>
                <w:szCs w:val="17"/>
                <w:b/>
                <w:bCs/>
                <w:color w:val="FFFFFF"/>
              </w:rPr>
              <w:t xml:space="preserve">Despesa mensal essencial</w:t>
            </w:r>
          </w:p>
        </w:tc>
        <w:tc>
          <w:tcPr>
            <w:tcW w:type="dxa" w:w="4475"/>
            <w:tcBorders>
              <w:top w:val="single" w:color="9AA0A6" w:sz="4"/>
              <w:left w:val="single" w:color="9AA0A6" w:sz="4"/>
              <w:bottom w:val="single" w:color="9AA0A6" w:sz="4"/>
              <w:right w:val="single" w:color="9AA0A6" w:sz="4"/>
            </w:tcBorders>
            <w:shd w:fill="123BB8" w:color="auto" w:val="clear"/>
            <w:tcMar>
              <w:top w:type="dxa" w:w="60"/>
              <w:left w:type="dxa" w:w="100"/>
              <w:bottom w:type="dxa" w:w="60"/>
              <w:right w:type="dxa" w:w="100"/>
            </w:tcMar>
            <w:vAlign w:val="center"/>
          </w:tcPr>
          <w:p>
            <w:pPr>
              <w:spacing w:after="0" w:line="240"/>
              <w:jc w:val="center"/>
            </w:pPr>
            <w:r>
              <w:rPr>
                <w:sz w:val="17"/>
                <w:szCs w:val="17"/>
                <w:b/>
                <w:bCs/>
                <w:color w:val="FFFFFF"/>
              </w:rPr>
              <w:t xml:space="preserve">Valor</w:t>
            </w:r>
          </w:p>
        </w:tc>
      </w:tr>
      <w:tr>
        <w:tc>
          <w:tcPr>
            <w:tcW w:type="dxa" w:w="4475"/>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left"/>
            </w:pPr>
            <w:r>
              <w:rPr>
                <w:sz w:val="17"/>
                <w:szCs w:val="17"/>
              </w:rPr>
              <w:t xml:space="preserve">Água (média)</w:t>
            </w:r>
          </w:p>
        </w:tc>
        <w:tc>
          <w:tcPr>
            <w:tcW w:type="dxa" w:w="4475"/>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rPr>
              <w:t xml:space="preserve">R$ </w:t>
            </w:r>
            <w:r>
              <w:rPr>
                <w:sz w:val="17"/>
                <w:szCs w:val="17"/>
                <w:highlight w:val="yellow"/>
              </w:rPr>
              <w:t xml:space="preserve">[__]</w:t>
            </w:r>
          </w:p>
        </w:tc>
      </w:tr>
      <w:tr>
        <w:tc>
          <w:tcPr>
            <w:tcW w:type="dxa" w:w="4475"/>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left"/>
            </w:pPr>
            <w:r>
              <w:rPr>
                <w:sz w:val="17"/>
                <w:szCs w:val="17"/>
              </w:rPr>
              <w:t xml:space="preserve">Energia elétrica (média)</w:t>
            </w:r>
          </w:p>
        </w:tc>
        <w:tc>
          <w:tcPr>
            <w:tcW w:type="dxa" w:w="4475"/>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rPr>
              <w:t xml:space="preserve">R$ </w:t>
            </w:r>
            <w:r>
              <w:rPr>
                <w:sz w:val="17"/>
                <w:szCs w:val="17"/>
                <w:highlight w:val="yellow"/>
              </w:rPr>
              <w:t xml:space="preserve">[__]</w:t>
            </w:r>
          </w:p>
        </w:tc>
      </w:tr>
      <w:tr>
        <w:tc>
          <w:tcPr>
            <w:tcW w:type="dxa" w:w="4475"/>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left"/>
            </w:pPr>
            <w:r>
              <w:rPr>
                <w:sz w:val="17"/>
                <w:szCs w:val="17"/>
              </w:rPr>
              <w:t xml:space="preserve">Alimentação (média)</w:t>
            </w:r>
          </w:p>
        </w:tc>
        <w:tc>
          <w:tcPr>
            <w:tcW w:type="dxa" w:w="4475"/>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rPr>
              <w:t xml:space="preserve">R$ </w:t>
            </w:r>
            <w:r>
              <w:rPr>
                <w:sz w:val="17"/>
                <w:szCs w:val="17"/>
                <w:highlight w:val="yellow"/>
              </w:rPr>
              <w:t xml:space="preserve">[__]</w:t>
            </w:r>
          </w:p>
        </w:tc>
      </w:tr>
      <w:tr>
        <w:tc>
          <w:tcPr>
            <w:tcW w:type="dxa" w:w="4475"/>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left"/>
            </w:pPr>
            <w:r>
              <w:rPr>
                <w:sz w:val="17"/>
                <w:szCs w:val="17"/>
              </w:rPr>
              <w:t xml:space="preserve">Moradia (prestação/aluguel)</w:t>
            </w:r>
          </w:p>
        </w:tc>
        <w:tc>
          <w:tcPr>
            <w:tcW w:type="dxa" w:w="4475"/>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rPr>
              <w:t xml:space="preserve">R$ </w:t>
            </w:r>
            <w:r>
              <w:rPr>
                <w:sz w:val="17"/>
                <w:szCs w:val="17"/>
                <w:highlight w:val="yellow"/>
              </w:rPr>
              <w:t xml:space="preserve">[__]</w:t>
            </w:r>
          </w:p>
        </w:tc>
      </w:tr>
      <w:tr>
        <w:tc>
          <w:tcPr>
            <w:tcW w:type="dxa" w:w="4475"/>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left"/>
            </w:pPr>
            <w:r>
              <w:rPr>
                <w:sz w:val="17"/>
                <w:szCs w:val="17"/>
              </w:rPr>
              <w:t xml:space="preserve">Medicamentos e tratamentos (média)</w:t>
            </w:r>
          </w:p>
        </w:tc>
        <w:tc>
          <w:tcPr>
            <w:tcW w:type="dxa" w:w="4475"/>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rPr>
              <w:t xml:space="preserve">R$ </w:t>
            </w:r>
            <w:r>
              <w:rPr>
                <w:sz w:val="17"/>
                <w:szCs w:val="17"/>
                <w:highlight w:val="yellow"/>
              </w:rPr>
              <w:t xml:space="preserve">[__]</w:t>
            </w:r>
          </w:p>
        </w:tc>
      </w:tr>
      <w:tr>
        <w:tc>
          <w:tcPr>
            <w:tcW w:type="dxa" w:w="4475"/>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left"/>
            </w:pPr>
            <w:r>
              <w:rPr>
                <w:sz w:val="17"/>
                <w:szCs w:val="17"/>
                <w:b/>
                <w:bCs/>
              </w:rPr>
              <w:t xml:space="preserve">Total</w:t>
            </w:r>
          </w:p>
        </w:tc>
        <w:tc>
          <w:tcPr>
            <w:tcW w:type="dxa" w:w="4475"/>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b/>
                <w:bCs/>
              </w:rPr>
              <w:t xml:space="preserve">R$ </w:t>
            </w:r>
            <w:r>
              <w:rPr>
                <w:sz w:val="17"/>
                <w:szCs w:val="17"/>
                <w:b/>
                <w:bCs/>
                <w:highlight w:val="yellow"/>
              </w:rPr>
              <w:t xml:space="preserve">[__]</w:t>
            </w:r>
          </w:p>
        </w:tc>
      </w:tr>
    </w:tbl>
    <w:p>
      <w:pPr>
        <w:spacing w:after="120"/>
      </w:pPr>
    </w:p>
    <w:p>
      <w:pPr>
        <w:spacing w:after="60" w:line="360"/>
        <w:ind w:firstLine="850"/>
        <w:jc w:val="both"/>
      </w:pPr>
      <w:r>
        <w:rPr/>
        <w:t xml:space="preserve">Em síntese: a renda mensal do Autor é de R$ </w:t>
      </w:r>
      <w:r>
        <w:rPr>
          <w:highlight w:val="yellow"/>
        </w:rPr>
        <w:t xml:space="preserve">[__]</w:t>
      </w:r>
      <w:r>
        <w:rPr/>
        <w:t xml:space="preserve">, ao passo que os descontos mensais em favor do Réu totalizam R$ </w:t>
      </w:r>
      <w:r>
        <w:rPr>
          <w:highlight w:val="yellow"/>
        </w:rPr>
        <w:t xml:space="preserve">[__]</w:t>
      </w:r>
      <w:r>
        <w:rPr/>
        <w:t xml:space="preserve"> (R$ </w:t>
      </w:r>
      <w:r>
        <w:rPr>
          <w:highlight w:val="yellow"/>
        </w:rPr>
        <w:t xml:space="preserve">[__]</w:t>
      </w:r>
      <w:r>
        <w:rPr/>
        <w:t xml:space="preserve"> em consignados + R$ </w:t>
      </w:r>
      <w:r>
        <w:rPr>
          <w:highlight w:val="yellow"/>
        </w:rPr>
        <w:t xml:space="preserve">[__]</w:t>
      </w:r>
      <w:r>
        <w:rPr/>
        <w:t xml:space="preserve"> em débitos em conta), o que representa o comprometimento de </w:t>
      </w:r>
      <w:r>
        <w:rPr>
          <w:highlight w:val="yellow"/>
        </w:rPr>
        <w:t xml:space="preserve">[__]</w:t>
      </w:r>
      <w:r>
        <w:rPr/>
        <w:t xml:space="preserve">% de sua renda — sem qualquer sobra para as despesas essenciais acima demonstradas.</w:t>
      </w:r>
    </w:p>
    <w:p>
      <w:pPr>
        <w:spacing w:after="60" w:line="360"/>
        <w:ind w:firstLine="850"/>
        <w:jc w:val="both"/>
      </w:pPr>
      <w:r>
        <w:rPr/>
        <w:t xml:space="preserve">Evidenciado o superendividamento, impõe-se a repactuação das dívidas do Requerente, com a limitação dos descontos a 35% (trinta e cinco por cento) de seus rendimentos líquidos, de modo a restabelecer o mínimo indispensável à sua subsistência e à recuperação de sua saúde física e emocional, abaladas por essa situação.</w:t>
      </w:r>
    </w:p>
    <w:p>
      <w:pPr>
        <w:spacing w:after="60" w:line="360"/>
        <w:ind w:firstLine="850"/>
        <w:jc w:val="both"/>
      </w:pPr>
      <w:r>
        <w:rPr/>
        <w:t xml:space="preserve">Ressalte-se que o Autor buscou a composição amigável pela via extrajudicial, perante o CEJUSC, sem êxito, conforme documentação anexa (doc. </w:t>
      </w:r>
      <w:r>
        <w:rPr>
          <w:highlight w:val="yellow"/>
        </w:rPr>
        <w:t xml:space="preserve">[__]</w:t>
      </w:r>
      <w:r>
        <w:rPr/>
        <w:t xml:space="preserve">).</w:t>
      </w:r>
    </w:p>
    <w:p>
      <w:pPr>
        <w:spacing w:after="60" w:line="360"/>
        <w:ind w:firstLine="850"/>
        <w:jc w:val="both"/>
      </w:pPr>
      <w:r>
        <w:rPr/>
        <w:t xml:space="preserve">Revela-se, portanto, necessária a intervenção judicial, a fim de preservar o mínimo indispensável à subsistência do Demandante, em observância ao princípio da dignidade da pessoa humana (art. 1º, III, da CF).</w:t>
      </w:r>
    </w:p>
    <w:p>
      <w:pPr>
        <w:keepNext/>
        <w:shd w:fill="123BB8" w:color="auto" w:val="clear"/>
        <w:tabs>
          <w:tab w:val="left" w:pos="1000"/>
        </w:tabs>
        <w:spacing w:after="240" w:before="360" w:line="360"/>
        <w:ind w:left="0"/>
      </w:pPr>
      <w:r>
        <w:rPr>
          <w:b/>
          <w:bCs/>
          <w:i/>
          <w:iCs/>
          <w:color w:val="FFFFFF"/>
        </w:rPr>
        <w:t xml:space="preserve">	Do direito.</w:t>
      </w:r>
    </w:p>
    <w:p>
      <w:pPr>
        <w:keepNext/>
        <w:tabs>
          <w:tab w:val="left" w:pos="700"/>
        </w:tabs>
        <w:spacing w:after="160" w:before="240" w:line="360"/>
        <w:ind w:left="700" w:hanging="400"/>
      </w:pPr>
      <w:r>
        <w:rPr>
          <w:b/>
          <w:bCs/>
          <w:i/>
          <w:iCs/>
        </w:rPr>
        <w:t xml:space="preserve">a.	Da incidência do Código de Defesa do Consumidor</w:t>
      </w:r>
    </w:p>
    <w:p>
      <w:pPr>
        <w:spacing w:after="60" w:line="360"/>
        <w:ind w:firstLine="850"/>
        <w:jc w:val="both"/>
      </w:pPr>
      <w:r>
        <w:rPr/>
        <w:t xml:space="preserve">A relação entre as partes é de consumo, nos termos dos arts. 2º e 3º, § 2º, do CDC, sendo pacífico que o Código de Defesa do Consumidor é aplicável às instituições financeiras (Súmula 297 do STJ).</w:t>
      </w:r>
    </w:p>
    <w:p>
      <w:pPr>
        <w:keepNext/>
        <w:tabs>
          <w:tab w:val="left" w:pos="700"/>
        </w:tabs>
        <w:spacing w:after="160" w:before="240" w:line="360"/>
        <w:ind w:left="700" w:hanging="400"/>
      </w:pPr>
      <w:r>
        <w:rPr>
          <w:b/>
          <w:bCs/>
          <w:i/>
          <w:iCs/>
        </w:rPr>
        <w:t xml:space="preserve">b.	Da inversão do ônus da prova</w:t>
      </w:r>
    </w:p>
    <w:p>
      <w:pPr>
        <w:spacing w:after="60" w:line="360"/>
        <w:ind w:firstLine="850"/>
        <w:jc w:val="both"/>
      </w:pPr>
      <w:r>
        <w:rPr/>
        <w:t xml:space="preserve">O Autor, consumidor destinatário final dos serviços bancários prestados pelo Réu, firmou contratos excessivamente onerosos e encontra-se em situação de superendividamento. É evidente sua hipossuficiência técnica e sua hipervulnerabilidade — </w:t>
      </w:r>
      <w:r>
        <w:rPr>
          <w:highlight w:val="yellow"/>
        </w:rPr>
        <w:t xml:space="preserve">[pessoa idosa / pessoa com deficiência / aposentado por incapacidade]</w:t>
      </w:r>
      <w:r>
        <w:rPr/>
        <w:t xml:space="preserve"> —, a exigir a plena aplicação das normas protetivas do CDC (art. 4º, I, e art. 6º, VIII).</w:t>
      </w:r>
    </w:p>
    <w:p>
      <w:pPr>
        <w:spacing w:after="60" w:line="360"/>
        <w:ind w:firstLine="850"/>
        <w:jc w:val="both"/>
      </w:pPr>
      <w:r>
        <w:rPr/>
        <w:t xml:space="preserve">A inversão do ônus da prova é imprescindível, pois o Requerente não dispõe de cópia integral dos contratos, documentos essenciais à lide e que se encontram em poder exclusivo do Banco Requerido.</w:t>
      </w:r>
    </w:p>
    <w:p>
      <w:pPr>
        <w:spacing w:after="60" w:line="360"/>
        <w:ind w:firstLine="850"/>
        <w:jc w:val="both"/>
      </w:pPr>
      <w:r>
        <w:rPr/>
        <w:t xml:space="preserve">Nesse sentido é o entendimento dos Tribunais pátrios, inclusive do E. TJ/SP:</w:t>
      </w:r>
    </w:p>
    <w:p>
      <w:pPr>
        <w:pBdr>
          <w:top w:val="single" w:color="9AA0A6" w:sz="4" w:space="6"/>
          <w:bottom w:val="single" w:color="9AA0A6" w:sz="4" w:space="6"/>
        </w:pBdr>
        <w:spacing w:after="200" w:before="160" w:line="240"/>
        <w:ind w:left="2270" w:right="570"/>
        <w:jc w:val="both"/>
      </w:pPr>
      <w:r>
        <w:rPr>
          <w:i/>
          <w:iCs/>
          <w:sz w:val="18"/>
          <w:szCs w:val="18"/>
        </w:rPr>
        <w:t xml:space="preserve">“Apelação. Ação declaratória e indenizatória. Empréstimo consignado. Parcial procedência. Apelo da autora. Descontos indevidos em benefício previdenciário. Não apresentação do contrato impugnado pela casa bancária. Tema nº 1061, do C. STJ. Descumprimento do ônus probatório pelo réu relativamente à validade do contrato. Art. 6º, VIII, do CDC. Fraude contratual evidenciada. Falha na prestação do serviço. Restituição do indébito devida e já autorizada pela r. sentença. Danos morais ora reconhecidos. Valor da indenização. Proporcionalidade e razoabilidade. Recurso da autora parcialmente provido.” (TJSP; Apelação Cível 1009094-96.2023.8.26.0438; Relator(a): Luís Fernando Camargo de Barros Vidal; 14ª Câmara de Direito Privado; Foro de Penápolis – 4ª Vara; j. 23/08/2024) – g.n.</w:t>
      </w:r>
    </w:p>
    <w:p>
      <w:pPr>
        <w:spacing w:after="60" w:line="360"/>
        <w:ind w:firstLine="850"/>
        <w:jc w:val="both"/>
      </w:pPr>
      <w:r>
        <w:rPr/>
        <w:t xml:space="preserve">Desse modo, requer a inversão do ônus da prova, determinando-se que a Instituição Financeira Demandada traga aos autos os contratos referentes às dívidas que se pretende repactuar, bem como demonstrativo atualizado do saldo devedor de cada um deles, de modo a possibilitar a elaboração do plano de pagamento.</w:t>
      </w:r>
    </w:p>
    <w:p>
      <w:pPr>
        <w:keepNext/>
        <w:tabs>
          <w:tab w:val="left" w:pos="700"/>
        </w:tabs>
        <w:spacing w:after="160" w:before="240" w:line="360"/>
        <w:ind w:left="700" w:hanging="400"/>
      </w:pPr>
      <w:r>
        <w:rPr>
          <w:b/>
          <w:bCs/>
          <w:i/>
          <w:iCs/>
        </w:rPr>
        <w:t xml:space="preserve">c.	Do direito à repactuação das dívidas – Lei nº 14.181/2021 (superendividamento)</w:t>
      </w:r>
    </w:p>
    <w:p>
      <w:pPr>
        <w:spacing w:after="60" w:line="360"/>
        <w:ind w:firstLine="850"/>
        <w:jc w:val="both"/>
      </w:pPr>
      <w:r>
        <w:rPr/>
        <w:t xml:space="preserve">A Lei nº 14.181/2021 introduziu no CDC a disciplina da prevenção e do tratamento do superendividamento, possibilitando a repactuação das dívidas com o escopo de preservar o mínimo existencial do devedor. Nos termos do art. 54-A, § 1º, do CDC:</w:t>
      </w:r>
    </w:p>
    <w:p>
      <w:pPr>
        <w:pBdr>
          <w:top w:val="single" w:color="9AA0A6" w:sz="4" w:space="6"/>
          <w:bottom w:val="single" w:color="9AA0A6" w:sz="4" w:space="6"/>
        </w:pBdr>
        <w:spacing w:after="200" w:before="160" w:line="240"/>
        <w:ind w:left="2270" w:right="570"/>
        <w:jc w:val="both"/>
      </w:pPr>
      <w:r>
        <w:rPr>
          <w:i/>
          <w:iCs/>
          <w:sz w:val="18"/>
          <w:szCs w:val="18"/>
        </w:rPr>
        <w:t xml:space="preserve">“§ 1º Entende-se por superendividamento a impossibilidade manifesta de o consumidor pessoa natural, de boa-fé, pagar a totalidade de suas dívidas de consumo, exigíveis e vincendas, sem comprometer seu mínimo existencial, nos termos da regulamentação.”</w:t>
      </w:r>
    </w:p>
    <w:p>
      <w:pPr>
        <w:spacing w:after="60" w:line="360"/>
        <w:ind w:firstLine="850"/>
        <w:jc w:val="both"/>
      </w:pPr>
      <w:r>
        <w:rPr/>
        <w:t xml:space="preserve">No caso, o Autor recebe benefício previdenciário de R$ </w:t>
      </w:r>
      <w:r>
        <w:rPr>
          <w:highlight w:val="yellow"/>
        </w:rPr>
        <w:t xml:space="preserve">[__]</w:t>
      </w:r>
      <w:r>
        <w:rPr/>
        <w:t xml:space="preserve">, dos quais </w:t>
      </w:r>
      <w:r>
        <w:rPr>
          <w:highlight w:val="yellow"/>
        </w:rPr>
        <w:t xml:space="preserve">[__]</w:t>
      </w:r>
      <w:r>
        <w:rPr/>
        <w:t xml:space="preserve">% estão comprometidos com o pagamento das dívidas mantidas com o Réu, que somam R$ </w:t>
      </w:r>
      <w:r>
        <w:rPr>
          <w:highlight w:val="yellow"/>
        </w:rPr>
        <w:t xml:space="preserve">[__]</w:t>
      </w:r>
      <w:r>
        <w:rPr/>
        <w:t xml:space="preserve"> mensais, restando saldo negativo em sua conta e obrigando-o a contrair novos empréstimos para sobreviver, o que apenas agrava o endividamento.</w:t>
      </w:r>
    </w:p>
    <w:p>
      <w:pPr>
        <w:spacing w:after="60" w:line="360"/>
        <w:ind w:firstLine="850"/>
        <w:jc w:val="both"/>
      </w:pPr>
      <w:r>
        <w:rPr/>
        <w:t xml:space="preserve">Além disso, como comprova a declaração do INSS (doc. </w:t>
      </w:r>
      <w:r>
        <w:rPr>
          <w:highlight w:val="yellow"/>
        </w:rPr>
        <w:t xml:space="preserve">[__]</w:t>
      </w:r>
      <w:r>
        <w:rPr/>
        <w:t xml:space="preserve">), o Autor é beneficiário de </w:t>
      </w:r>
      <w:r>
        <w:rPr>
          <w:highlight w:val="yellow"/>
        </w:rPr>
        <w:t xml:space="preserve">[aposentadoria por incapacidade permanente decorrente de acidente de trabalho]</w:t>
      </w:r>
      <w:r>
        <w:rPr/>
        <w:t xml:space="preserve">, com quadro de saúde frágil, conforme documentos médicos colacionados (doc. </w:t>
      </w:r>
      <w:r>
        <w:rPr>
          <w:highlight w:val="yellow"/>
        </w:rPr>
        <w:t xml:space="preserve">[__]</w:t>
      </w:r>
      <w:r>
        <w:rPr/>
        <w:t xml:space="preserve">), o que lhe acarreta despesas mensais com medicamentos, exames e consultas.</w:t>
      </w:r>
    </w:p>
    <w:p>
      <w:pPr>
        <w:spacing w:after="60" w:line="360"/>
        <w:ind w:firstLine="850"/>
        <w:jc w:val="both"/>
      </w:pPr>
      <w:r>
        <w:rPr/>
        <w:t xml:space="preserve">Quanto ao conceito de mínimo existencial, ressalte-se que o valor fixado pelo Decreto nº 11.150/2022 (com a redação do Decreto nº 11.567/2023) não pode ser tomado como parâmetro absoluto, pois sua aplicação literal esvaziaria a finalidade protetiva da Lei nº 14.181/2021 — razão pela qual o tema é objeto de questionamento no Supremo Tribunal Federal (ADPFs 1005 e 1006). O mínimo existencial deve ser aferido no caso concreto, à luz das despesas essenciais efetivamente comprovadas pelo consumidor, em atenção ao princípio da dignidade da pessoa humana (art. 1º, III, da CF) e aos arts. 6º, XI e XII, do CDC.</w:t>
      </w:r>
    </w:p>
    <w:p>
      <w:pPr>
        <w:spacing w:after="60" w:line="360"/>
        <w:ind w:firstLine="850"/>
        <w:jc w:val="both"/>
      </w:pPr>
      <w:r>
        <w:rPr/>
        <w:t xml:space="preserve">Nos termos do art. 104-A do CDC, o consumidor superendividado pode requerer ao juiz a instauração de processo de repactuação de dívidas, com audiência conciliatória em que apresentará proposta de plano de pagamento com prazo máximo de 5 (cinco) anos, preservado o mínimo existencial. Não havendo êxito na conciliação, instaura-se, a pedido do consumidor, processo por superendividamento para revisão e integração dos contratos e repactuação das dívidas remanescentes mediante plano judicial compulsório (art. 104-B do CDC).</w:t>
      </w:r>
    </w:p>
    <w:p>
      <w:pPr>
        <w:spacing w:after="60" w:line="360"/>
        <w:ind w:firstLine="850"/>
        <w:jc w:val="both"/>
      </w:pPr>
      <w:r>
        <w:rPr/>
        <w:t xml:space="preserve">Incide, ainda, o art. 4º, I, do CDC, que consagra o reconhecimento da vulnerabilidade do consumidor no mercado de consumo:</w:t>
      </w:r>
    </w:p>
    <w:p>
      <w:pPr>
        <w:pBdr>
          <w:top w:val="single" w:color="9AA0A6" w:sz="4" w:space="6"/>
          <w:bottom w:val="single" w:color="9AA0A6" w:sz="4" w:space="6"/>
        </w:pBdr>
        <w:spacing w:after="200" w:before="160" w:line="240"/>
        <w:ind w:left="2270" w:right="570"/>
        <w:jc w:val="both"/>
      </w:pPr>
      <w:r>
        <w:rPr>
          <w:i/>
          <w:iCs/>
          <w:sz w:val="18"/>
          <w:szCs w:val="18"/>
        </w:rPr>
        <w:t xml:space="preserve">“Art. 4º A Política Nacional das Relações de Consumo tem por objetivo o atendimento das necessidades dos consumidores, o respeito à sua dignidade, saúde e segurança, a proteção de seus interesses econômicos, a melhoria da sua qualidade de vida, bem como a transparência e harmonia das relações de consumo, atendidos os seguintes princípios: I – reconhecimento da vulnerabilidade do consumidor no mercado de consumo;”</w:t>
      </w:r>
    </w:p>
    <w:p>
      <w:pPr>
        <w:spacing w:after="60" w:line="360"/>
        <w:ind w:firstLine="850"/>
        <w:jc w:val="both"/>
      </w:pPr>
      <w:r>
        <w:rPr/>
        <w:t xml:space="preserve">O Autor, pessoa simples, não recebeu as informações necessárias à contratação junto ao Réu, instituição de grande poderio econômico, e foi continuamente induzido a firmar sucessivos contratos de empréstimo e refinanciamento, gerando o superendividamento em que se encontra.</w:t>
      </w:r>
    </w:p>
    <w:p>
      <w:pPr>
        <w:spacing w:after="60" w:line="360"/>
        <w:ind w:firstLine="850"/>
        <w:jc w:val="both"/>
      </w:pPr>
      <w:r>
        <w:rPr/>
        <w:t xml:space="preserve">Resta flagrante, ainda, a violação aos arts. 52, 54-B e 54-D, II, do CDC, uma vez que o Banco Réu descumpriu tanto o dever de informação quanto o dever de avaliar, de forma responsável, as condições de crédito do consumidor (concessão responsável de crédito), circunstância que autoriza, inclusive, a redução dos juros e encargos e a dilação do prazo de pagamento (art. 54-D, parágrafo único, do CDC).</w:t>
      </w:r>
    </w:p>
    <w:p>
      <w:pPr>
        <w:spacing w:after="60" w:line="360"/>
        <w:ind w:firstLine="850"/>
        <w:jc w:val="both"/>
      </w:pPr>
      <w:r>
        <w:rPr/>
        <w:t xml:space="preserve">Quanto ao percentual de comprometimento da renda, a legislação que disciplina o crédito consignado de beneficiários do INSS fixa margem para empréstimos em 35% do valor do benefício, com margens adicionais e específicas para cartão de crédito consignado e cartão consignado de benefício (art. 6º da Lei nº 10.820/2003 e art. 115, VI, da Lei nº 8.213/1991, com as alterações posteriores). Tal parâmetro, aplicado à totalidade dos descontos — consignados e débitos em conta —, é referência razoável para a preservação do mínimo existencial do Autor, cujo comprometimento de renda atinge hoje </w:t>
      </w:r>
      <w:r>
        <w:rPr>
          <w:highlight w:val="yellow"/>
        </w:rPr>
        <w:t xml:space="preserve">[__]</w:t>
      </w:r>
      <w:r>
        <w:rPr/>
        <w:t xml:space="preserve">%.</w:t>
      </w:r>
    </w:p>
    <w:p>
      <w:pPr>
        <w:spacing w:after="60" w:line="360"/>
        <w:ind w:firstLine="850"/>
        <w:jc w:val="both"/>
      </w:pPr>
      <w:r>
        <w:rPr/>
        <w:t xml:space="preserve">Ademais, os inclusos extratos bancários (doc. </w:t>
      </w:r>
      <w:r>
        <w:rPr>
          <w:highlight w:val="yellow"/>
        </w:rPr>
        <w:t xml:space="preserve">[__]</w:t>
      </w:r>
      <w:r>
        <w:rPr/>
        <w:t xml:space="preserve">) demonstram que não resta ao Autor qualquer saldo do benefício após o pagamento das dívidas, o que inviabiliza sua subsistência.</w:t>
      </w:r>
    </w:p>
    <w:p>
      <w:pPr>
        <w:spacing w:after="60" w:line="360"/>
        <w:ind w:firstLine="850"/>
        <w:jc w:val="both"/>
      </w:pPr>
      <w:r>
        <w:rPr/>
        <w:t xml:space="preserve">Por fim, não incide no caso o Tema 1.085 do C. STJ (REsp nº 1.863.973/SP), pois não se discute a legalidade dos descontos nem a aplicação analógica dos limites de margem consignável, mas, com amparo na Lei nº 14.181/2021, a repactuação das dívidas do consumidor superendividado, para que possa sobreviver dignamente. Nesse sentido:</w:t>
      </w:r>
    </w:p>
    <w:p>
      <w:pPr>
        <w:pBdr>
          <w:top w:val="single" w:color="9AA0A6" w:sz="4" w:space="6"/>
          <w:bottom w:val="single" w:color="9AA0A6" w:sz="4" w:space="6"/>
        </w:pBdr>
        <w:spacing w:after="200" w:before="160" w:line="240"/>
        <w:ind w:left="2270" w:right="570"/>
        <w:jc w:val="both"/>
      </w:pPr>
      <w:r>
        <w:rPr>
          <w:i/>
          <w:iCs/>
          <w:sz w:val="18"/>
          <w:szCs w:val="18"/>
        </w:rPr>
        <w:t xml:space="preserve">“Apelação Cível. Relação de Consumo. Ação de Obrigação de Fazer e Revisional. Superendividamento. Instituições Financeiras. Contratação de empréstimos consignados, com descontos em folha de pagamento. Alegação de descontos além do limite de 30% dos rendimentos. Sentença de procedência. Manutenção. Não incidência do Tema 1085, do E. STJ. Cartão de crédito consignado em folha de pagamento – Medida Provisória nº 681/2015, convertida na Lei nº 13.172/2015. Superendividamento. Princípio do Crédito Responsável. Preservação do mínimo existencial, em consonância com o Princípio da Dignidade da Pessoa Humana. Caráter alimentar da remuneração. Limitação dos descontos de 30% sobre a receita bruta do devedor. (...) DESPROVIMENTO DO RECURSO.” (TJ-RJ – APL: 0014394-72.2017.8.19.0208, Relatora: Des(a). Regina Lucia Passos, 24ª Câmara Cível, j. 18/01/2023, p. 19/01/2023) – g.n.</w:t>
      </w:r>
    </w:p>
    <w:p>
      <w:pPr>
        <w:pBdr>
          <w:top w:val="single" w:color="9AA0A6" w:sz="4" w:space="6"/>
          <w:bottom w:val="single" w:color="9AA0A6" w:sz="4" w:space="6"/>
        </w:pBdr>
        <w:spacing w:after="200" w:before="160" w:line="240"/>
        <w:ind w:left="2270" w:right="570"/>
        <w:jc w:val="both"/>
      </w:pPr>
      <w:r>
        <w:rPr>
          <w:i/>
          <w:iCs/>
          <w:sz w:val="18"/>
          <w:szCs w:val="18"/>
        </w:rPr>
        <w:t xml:space="preserve">“AGRAVO DE INSTRUMENTO. AÇÃO DE REPACTUAÇÃO DE DÍVIDAS POR SUPERENDIVIDAMENTO. TUTELA DE URGÊNCIA. DIREITO DO CONSUMIDOR. DESCONTOS DE EMPRÉSTIMOS CONSIGNADOS E EM CONTA CORRENTE. TEMA 1.085. INAPLICABILIDADE. LEI 14.181/2021. ANTECIPAÇÃO DAS SALVAGUARDAS AO MÍNIMO EXISTENCIAL. DEVEDOR-CONSUMIDOR. DIGNIDADE HUMANA. ESTATUTO JURÍDICO DO PATRIMÔNIO MÍNIMO. SUSPENSÃO PARCIAL DA EXIGIBILIDADE DAS DÍVIDAS. DECISÃO REFORMADA. (...) 2. O caso em questão não se amolda à discussão travada no Tema 1.085, pois não discute a legalidade dos descontos em si, nem a aplicação analógica dos limites legais de consignação, e sim a possibilidade de antecipação, em sede de tutela de urgência, das salvaguardas ao mínimo existencial do consumidor-devedor em situação de superendividamento, instituídas pela Lei nº 14.181/2021, dentre as quais a possibilidade de suspensão parcial da exigibilidade do débito oriundo de contratos de empréstimo. (...) 7. Ainda que não haja previsão de suspensão imediata da exigibilidade das dívidas no processo de superendividamento, é possível a antecipação da tutela garantidora do consumidor nas situações concretas em que a espera pela audiência de conciliação ou resolução de mérito coloquem em risco o bem jurídico tutelado pela norma, qual seja, o mínimo existencial. 8. Lado outro, a suspensão da exigibilidade das cobranças deve se dar sob o pálio da proporcionalidade, tendo como medida o absolutamente necessário para a garantia do mínimo existencial. E, em consonância com a sistemática da repactuação de dívidas por superendividamento, a tutela de urgência se submete ao condicionamento de seus efeitos à abstenção, pelo consumidor, de condutas que importem no agravamento de sua situação de superendividamento (art. 104-A, § 4º, IV, do CDC). 9. No caso concreto, os descontos têm consumido a integralidade da renda mensal da agravante, e restou infrutífera a audiência conciliatória com os credores (...). 11. Concedida parcialmente a tutela de urgência para limitar pela metade os descontos referentes aos empréstimos consignados e para desconto em conta corrente, até o julgamento final do processo. 12. Agravo de Instrumento conhecido e parcialmente provido. Maioria.” (TJDFT; Agravo de Instrumento nº 0717069-66.2022.8.07.0000; 3ª Turma Cível; Rel. Des. Fátima Rafael; j. 18/08/2022) – g.n.</w:t>
      </w:r>
    </w:p>
    <w:p>
      <w:pPr>
        <w:spacing w:after="60" w:line="360"/>
        <w:ind w:firstLine="850"/>
        <w:jc w:val="both"/>
      </w:pPr>
      <w:r>
        <w:rPr/>
        <w:t xml:space="preserve">Desse modo, não resta ao Demandante alternativa senão requerer a limitação dos descontos ao patamar de 35% de seu benefício previdenciário até a quitação dos débitos contraídos junto ao Réu, preservando-se seu mínimo existencial e sua dignidade.</w:t>
      </w:r>
    </w:p>
    <w:p>
      <w:pPr>
        <w:keepNext/>
        <w:tabs>
          <w:tab w:val="left" w:pos="700"/>
        </w:tabs>
        <w:spacing w:after="160" w:before="240" w:line="360"/>
        <w:ind w:left="700" w:hanging="400"/>
      </w:pPr>
      <w:r>
        <w:rPr>
          <w:b/>
          <w:bCs/>
          <w:i/>
          <w:iCs/>
        </w:rPr>
        <w:t xml:space="preserve">d.	Do plano de pagamento</w:t>
      </w:r>
    </w:p>
    <w:p>
      <w:pPr>
        <w:spacing w:after="60" w:line="360"/>
        <w:ind w:firstLine="850"/>
        <w:jc w:val="both"/>
      </w:pPr>
      <w:r>
        <w:rPr>
          <w:highlight w:val="yellow"/>
        </w:rPr>
        <w:t xml:space="preserve">[OPÇÃO A – sem acesso aos contratos:]</w:t>
      </w:r>
      <w:r>
        <w:rPr/>
        <w:t xml:space="preserve"> O Autor apresenta, desde já, proposta preliminar de plano de pagamento, consistente no pagamento mensal de R$ </w:t>
      </w:r>
      <w:r>
        <w:rPr>
          <w:highlight w:val="yellow"/>
        </w:rPr>
        <w:t xml:space="preserve">[__]</w:t>
      </w:r>
      <w:r>
        <w:rPr/>
        <w:t xml:space="preserve"> (correspondente a 35% de seus rendimentos líquidos), rateado proporcionalmente entre os contratos, pelo prazo máximo de 60 (sessenta) meses (art. 104-A, caput, do CDC). A proposta definitiva será apresentada após a exibição, pelo Réu, dos contratos e do demonstrativo atualizado do saldo devedor de cada um deles, documentos que se encontram em seu poder exclusivo.</w:t>
      </w:r>
    </w:p>
    <w:p>
      <w:pPr>
        <w:spacing w:after="60" w:line="360"/>
        <w:ind w:firstLine="850"/>
        <w:jc w:val="both"/>
      </w:pPr>
      <w:r>
        <w:rPr>
          <w:highlight w:val="yellow"/>
        </w:rPr>
        <w:t xml:space="preserve">[OPÇÃO B – com os saldos devedores conhecidos:]</w:t>
      </w:r>
      <w:r>
        <w:rPr/>
        <w:t xml:space="preserve"> O Autor propõe o pagamento das dívidas em </w:t>
      </w:r>
      <w:r>
        <w:rPr>
          <w:highlight w:val="yellow"/>
        </w:rPr>
        <w:t xml:space="preserve">[__]</w:t>
      </w:r>
      <w:r>
        <w:rPr/>
        <w:t xml:space="preserve"> parcelas mensais de R$ </w:t>
      </w:r>
      <w:r>
        <w:rPr>
          <w:highlight w:val="yellow"/>
        </w:rPr>
        <w:t xml:space="preserve">[__]</w:t>
      </w:r>
      <w:r>
        <w:rPr/>
        <w:t xml:space="preserve">, totalizando R$ </w:t>
      </w:r>
      <w:r>
        <w:rPr>
          <w:highlight w:val="yellow"/>
        </w:rPr>
        <w:t xml:space="preserve">[__]</w:t>
      </w:r>
      <w:r>
        <w:rPr/>
        <w:t xml:space="preserve">, com vencimento da primeira no </w:t>
      </w:r>
      <w:r>
        <w:rPr>
          <w:highlight w:val="yellow"/>
        </w:rPr>
        <w:t xml:space="preserve">[__]</w:t>
      </w:r>
      <w:r>
        <w:rPr/>
        <w:t xml:space="preserve"> dia útil do mês subsequente à homologação, distribuídas da seguinte forma:</w:t>
      </w:r>
    </w:p>
    <w:tbl>
      <w:tblPr>
        <w:tblW w:type="dxa" w:w="8950"/>
        <w:jc w:val="center"/>
      </w:tblPr>
      <w:tblGrid>
        <w:gridCol w:w="2237"/>
        <w:gridCol w:w="2237"/>
        <w:gridCol w:w="2237"/>
        <w:gridCol w:w="2237"/>
      </w:tblGrid>
      <w:tr>
        <w:trPr>
          <w:tblHeader/>
        </w:trPr>
        <w:tc>
          <w:tcPr>
            <w:tcW w:type="dxa" w:w="2237"/>
            <w:tcBorders>
              <w:top w:val="single" w:color="9AA0A6" w:sz="4"/>
              <w:left w:val="single" w:color="9AA0A6" w:sz="4"/>
              <w:bottom w:val="single" w:color="9AA0A6" w:sz="4"/>
              <w:right w:val="single" w:color="9AA0A6" w:sz="4"/>
            </w:tcBorders>
            <w:shd w:fill="123BB8" w:color="auto" w:val="clear"/>
            <w:tcMar>
              <w:top w:type="dxa" w:w="60"/>
              <w:left w:type="dxa" w:w="100"/>
              <w:bottom w:type="dxa" w:w="60"/>
              <w:right w:type="dxa" w:w="100"/>
            </w:tcMar>
            <w:vAlign w:val="center"/>
          </w:tcPr>
          <w:p>
            <w:pPr>
              <w:spacing w:after="0" w:line="240"/>
              <w:jc w:val="center"/>
            </w:pPr>
            <w:r>
              <w:rPr>
                <w:sz w:val="17"/>
                <w:szCs w:val="17"/>
                <w:b/>
                <w:bCs/>
                <w:color w:val="FFFFFF"/>
              </w:rPr>
              <w:t xml:space="preserve">Contrato</w:t>
            </w:r>
          </w:p>
        </w:tc>
        <w:tc>
          <w:tcPr>
            <w:tcW w:type="dxa" w:w="2237"/>
            <w:tcBorders>
              <w:top w:val="single" w:color="9AA0A6" w:sz="4"/>
              <w:left w:val="single" w:color="9AA0A6" w:sz="4"/>
              <w:bottom w:val="single" w:color="9AA0A6" w:sz="4"/>
              <w:right w:val="single" w:color="9AA0A6" w:sz="4"/>
            </w:tcBorders>
            <w:shd w:fill="123BB8" w:color="auto" w:val="clear"/>
            <w:tcMar>
              <w:top w:type="dxa" w:w="60"/>
              <w:left w:type="dxa" w:w="100"/>
              <w:bottom w:type="dxa" w:w="60"/>
              <w:right w:type="dxa" w:w="100"/>
            </w:tcMar>
            <w:vAlign w:val="center"/>
          </w:tcPr>
          <w:p>
            <w:pPr>
              <w:spacing w:after="0" w:line="240"/>
              <w:jc w:val="center"/>
            </w:pPr>
            <w:r>
              <w:rPr>
                <w:sz w:val="17"/>
                <w:szCs w:val="17"/>
                <w:b/>
                <w:bCs/>
                <w:color w:val="FFFFFF"/>
              </w:rPr>
              <w:t xml:space="preserve">Saldo devedor</w:t>
            </w:r>
          </w:p>
        </w:tc>
        <w:tc>
          <w:tcPr>
            <w:tcW w:type="dxa" w:w="2237"/>
            <w:tcBorders>
              <w:top w:val="single" w:color="9AA0A6" w:sz="4"/>
              <w:left w:val="single" w:color="9AA0A6" w:sz="4"/>
              <w:bottom w:val="single" w:color="9AA0A6" w:sz="4"/>
              <w:right w:val="single" w:color="9AA0A6" w:sz="4"/>
            </w:tcBorders>
            <w:shd w:fill="123BB8" w:color="auto" w:val="clear"/>
            <w:tcMar>
              <w:top w:type="dxa" w:w="60"/>
              <w:left w:type="dxa" w:w="100"/>
              <w:bottom w:type="dxa" w:w="60"/>
              <w:right w:type="dxa" w:w="100"/>
            </w:tcMar>
            <w:vAlign w:val="center"/>
          </w:tcPr>
          <w:p>
            <w:pPr>
              <w:spacing w:after="0" w:line="240"/>
              <w:jc w:val="center"/>
            </w:pPr>
            <w:r>
              <w:rPr>
                <w:sz w:val="17"/>
                <w:szCs w:val="17"/>
                <w:b/>
                <w:bCs/>
                <w:color w:val="FFFFFF"/>
              </w:rPr>
              <w:t xml:space="preserve">% do total</w:t>
            </w:r>
          </w:p>
        </w:tc>
        <w:tc>
          <w:tcPr>
            <w:tcW w:type="dxa" w:w="2237"/>
            <w:tcBorders>
              <w:top w:val="single" w:color="9AA0A6" w:sz="4"/>
              <w:left w:val="single" w:color="9AA0A6" w:sz="4"/>
              <w:bottom w:val="single" w:color="9AA0A6" w:sz="4"/>
              <w:right w:val="single" w:color="9AA0A6" w:sz="4"/>
            </w:tcBorders>
            <w:shd w:fill="123BB8" w:color="auto" w:val="clear"/>
            <w:tcMar>
              <w:top w:type="dxa" w:w="60"/>
              <w:left w:type="dxa" w:w="100"/>
              <w:bottom w:type="dxa" w:w="60"/>
              <w:right w:type="dxa" w:w="100"/>
            </w:tcMar>
            <w:vAlign w:val="center"/>
          </w:tcPr>
          <w:p>
            <w:pPr>
              <w:spacing w:after="0" w:line="240"/>
              <w:jc w:val="center"/>
            </w:pPr>
            <w:r>
              <w:rPr>
                <w:sz w:val="17"/>
                <w:szCs w:val="17"/>
                <w:b/>
                <w:bCs/>
                <w:color w:val="FFFFFF"/>
              </w:rPr>
              <w:t xml:space="preserve">Parcela proposta</w:t>
            </w:r>
          </w:p>
        </w:tc>
      </w:tr>
      <w:tr>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left"/>
            </w:pPr>
            <w:r>
              <w:rPr>
                <w:sz w:val="17"/>
                <w:szCs w:val="17"/>
                <w:highlight w:val="yellow"/>
              </w:rPr>
              <w:t xml:space="preserve">[nº __]</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rPr>
              <w:t xml:space="preserve">R$ </w:t>
            </w:r>
            <w:r>
              <w:rPr>
                <w:sz w:val="17"/>
                <w:szCs w:val="17"/>
                <w:highlight w:val="yellow"/>
              </w:rPr>
              <w:t xml:space="preserve">[__]</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highlight w:val="yellow"/>
              </w:rPr>
              <w:t xml:space="preserve">[__]</w:t>
            </w:r>
            <w:r>
              <w:rPr>
                <w:sz w:val="17"/>
                <w:szCs w:val="17"/>
              </w:rPr>
              <w:t xml:space="preserve">%</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rPr>
              <w:t xml:space="preserve">R$ </w:t>
            </w:r>
            <w:r>
              <w:rPr>
                <w:sz w:val="17"/>
                <w:szCs w:val="17"/>
                <w:highlight w:val="yellow"/>
              </w:rPr>
              <w:t xml:space="preserve">[__]</w:t>
            </w:r>
          </w:p>
        </w:tc>
      </w:tr>
      <w:tr>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left"/>
            </w:pPr>
            <w:r>
              <w:rPr>
                <w:sz w:val="17"/>
                <w:szCs w:val="17"/>
                <w:highlight w:val="yellow"/>
              </w:rPr>
              <w:t xml:space="preserve">[nº __]</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rPr>
              <w:t xml:space="preserve">R$ </w:t>
            </w:r>
            <w:r>
              <w:rPr>
                <w:sz w:val="17"/>
                <w:szCs w:val="17"/>
                <w:highlight w:val="yellow"/>
              </w:rPr>
              <w:t xml:space="preserve">[__]</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highlight w:val="yellow"/>
              </w:rPr>
              <w:t xml:space="preserve">[__]</w:t>
            </w:r>
            <w:r>
              <w:rPr>
                <w:sz w:val="17"/>
                <w:szCs w:val="17"/>
              </w:rPr>
              <w:t xml:space="preserve">%</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rPr>
              <w:t xml:space="preserve">R$ </w:t>
            </w:r>
            <w:r>
              <w:rPr>
                <w:sz w:val="17"/>
                <w:szCs w:val="17"/>
                <w:highlight w:val="yellow"/>
              </w:rPr>
              <w:t xml:space="preserve">[__]</w:t>
            </w:r>
          </w:p>
        </w:tc>
      </w:tr>
      <w:tr>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left"/>
            </w:pPr>
            <w:r>
              <w:rPr>
                <w:sz w:val="17"/>
                <w:szCs w:val="17"/>
                <w:b/>
                <w:bCs/>
              </w:rPr>
              <w:t xml:space="preserve">Total</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b/>
                <w:bCs/>
              </w:rPr>
              <w:t xml:space="preserve">R$ </w:t>
            </w:r>
            <w:r>
              <w:rPr>
                <w:sz w:val="17"/>
                <w:szCs w:val="17"/>
                <w:b/>
                <w:bCs/>
                <w:highlight w:val="yellow"/>
              </w:rPr>
              <w:t xml:space="preserve">[__]</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b/>
                <w:bCs/>
              </w:rPr>
              <w:t xml:space="preserve">100%</w:t>
            </w:r>
          </w:p>
        </w:tc>
        <w:tc>
          <w:tcPr>
            <w:tcW w:type="dxa" w:w="2237"/>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after="0" w:line="240"/>
              <w:jc w:val="center"/>
            </w:pPr>
            <w:r>
              <w:rPr>
                <w:sz w:val="17"/>
                <w:szCs w:val="17"/>
                <w:b/>
                <w:bCs/>
              </w:rPr>
              <w:t xml:space="preserve">R$ </w:t>
            </w:r>
            <w:r>
              <w:rPr>
                <w:sz w:val="17"/>
                <w:szCs w:val="17"/>
                <w:b/>
                <w:bCs/>
                <w:highlight w:val="yellow"/>
              </w:rPr>
              <w:t xml:space="preserve">[__]</w:t>
            </w:r>
          </w:p>
        </w:tc>
      </w:tr>
    </w:tbl>
    <w:p>
      <w:pPr>
        <w:spacing w:after="120"/>
      </w:pPr>
    </w:p>
    <w:p>
      <w:pPr>
        <w:spacing w:after="60" w:line="360"/>
        <w:ind w:firstLine="850"/>
        <w:jc w:val="both"/>
      </w:pPr>
      <w:r>
        <w:rPr/>
        <w:t xml:space="preserve">Requer, assim, que o Banco Réu traga aos autos os contratos referentes às dívidas objeto da repactuação e o demonstrativo atualizado do saldo devedor de cada um deles, de modo a possibilitar a consolidação do plano de pagamento.</w:t>
      </w:r>
    </w:p>
    <w:p>
      <w:pPr>
        <w:keepNext/>
        <w:shd w:fill="123BB8" w:color="auto" w:val="clear"/>
        <w:tabs>
          <w:tab w:val="left" w:pos="1000"/>
        </w:tabs>
        <w:spacing w:after="240" w:before="360" w:line="360"/>
        <w:ind w:left="0"/>
      </w:pPr>
      <w:r>
        <w:rPr>
          <w:b/>
          <w:bCs/>
          <w:i/>
          <w:iCs/>
          <w:color w:val="FFFFFF"/>
        </w:rPr>
        <w:t xml:space="preserve">	Da tutela de urgência.</w:t>
      </w:r>
    </w:p>
    <w:p>
      <w:pPr>
        <w:spacing w:after="60" w:line="360"/>
        <w:ind w:firstLine="850"/>
        <w:jc w:val="both"/>
      </w:pPr>
      <w:r>
        <w:rPr/>
        <w:t xml:space="preserve">Nos termos do art. 300 do CPC, a tutela de urgência será concedida quando houver elementos que evidenciem a probabilidade do direito e o perigo de dano ou o risco ao resultado útil do processo.</w:t>
      </w:r>
    </w:p>
    <w:p>
      <w:pPr>
        <w:spacing w:after="60" w:line="360"/>
        <w:ind w:firstLine="850"/>
        <w:jc w:val="both"/>
      </w:pPr>
      <w:r>
        <w:rPr>
          <w:b/>
          <w:bCs/>
        </w:rPr>
        <w:t xml:space="preserve">Probabilidade do direito.</w:t>
      </w:r>
      <w:r>
        <w:rPr/>
        <w:t xml:space="preserve"> A Lei nº 14.181/2021, incorporada ao CDC, assegura a repactuação de dívidas com o escopo de preservar o mínimo existencial do consumidor superendividado (art. 54-A, § 1º, do CDC). No caso, a renda mensal do Autor é de R$ </w:t>
      </w:r>
      <w:r>
        <w:rPr>
          <w:highlight w:val="yellow"/>
        </w:rPr>
        <w:t xml:space="preserve">[__]</w:t>
      </w:r>
      <w:r>
        <w:rPr/>
        <w:t xml:space="preserve">, e os descontos em favor do Réu somam R$ </w:t>
      </w:r>
      <w:r>
        <w:rPr>
          <w:highlight w:val="yellow"/>
        </w:rPr>
        <w:t xml:space="preserve">[__]</w:t>
      </w:r>
      <w:r>
        <w:rPr/>
        <w:t xml:space="preserve">, comprometendo </w:t>
      </w:r>
      <w:r>
        <w:rPr>
          <w:highlight w:val="yellow"/>
        </w:rPr>
        <w:t xml:space="preserve">[__]</w:t>
      </w:r>
      <w:r>
        <w:rPr/>
        <w:t xml:space="preserve">% de sua renda, conforme quadros e documentos acima. Demonstrada, pois, a probabilidade do direito, a justificar a limitação liminar dos descontos do cartão de crédito consignado e dos empréstimos consignados e não consignados ao patamar de 35% do benefício.</w:t>
      </w:r>
    </w:p>
    <w:p>
      <w:pPr>
        <w:spacing w:after="60" w:line="360"/>
        <w:ind w:firstLine="850"/>
        <w:jc w:val="both"/>
      </w:pPr>
      <w:r>
        <w:rPr>
          <w:b/>
          <w:bCs/>
        </w:rPr>
        <w:t xml:space="preserve">Perigo de dano.</w:t>
      </w:r>
      <w:r>
        <w:rPr/>
        <w:t xml:space="preserve"> O benefício recebido pelo Autor está integralmente comprometido com o pagamento das dívidas, não lhe restando recursos para alimentação, higiene, saúde, moradia e vestuário (doc. </w:t>
      </w:r>
      <w:r>
        <w:rPr>
          <w:highlight w:val="yellow"/>
        </w:rPr>
        <w:t xml:space="preserve">[__]</w:t>
      </w:r>
      <w:r>
        <w:rPr/>
        <w:t xml:space="preserve">). Os descontos mensais consomem a totalidade de seus rendimentos, colocando em risco sua saúde já debilitada e sua própria subsistência, a ponto de obrigá-lo a contrair novos empréstimos junto ao Réu para comprar alimentos, como mostram os extratos bancários anexos (doc. </w:t>
      </w:r>
      <w:r>
        <w:rPr>
          <w:highlight w:val="yellow"/>
        </w:rPr>
        <w:t xml:space="preserve">[__]</w:t>
      </w:r>
      <w:r>
        <w:rPr/>
        <w:t xml:space="preserve">).</w:t>
      </w:r>
    </w:p>
    <w:p>
      <w:pPr>
        <w:spacing w:after="60" w:line="360"/>
        <w:ind w:firstLine="850"/>
        <w:jc w:val="both"/>
      </w:pPr>
      <w:r>
        <w:rPr>
          <w:b/>
          <w:bCs/>
        </w:rPr>
        <w:t xml:space="preserve">Reversibilidade da medida.</w:t>
      </w:r>
      <w:r>
        <w:rPr/>
        <w:t xml:space="preserve"> A tutela pleiteada é plenamente reversível (art. 300, § 3º, do CPC): o Autor não se nega a pagar o que deve, mas apenas pretende repactuar suas dívidas com base em expresso permissivo legal, podendo os descontos ser restabelecidos em caso de improcedência.</w:t>
      </w:r>
    </w:p>
    <w:p>
      <w:pPr>
        <w:spacing w:after="60" w:line="360"/>
        <w:ind w:firstLine="850"/>
        <w:jc w:val="both"/>
      </w:pPr>
      <w:r>
        <w:rPr/>
        <w:t xml:space="preserve">O Autor declara, desde já, que se absterá de condutas que importem no agravamento de sua situação de superendividamento, nos termos do art. 104-A, § 4º, IV, do CDC.</w:t>
      </w:r>
    </w:p>
    <w:p>
      <w:pPr>
        <w:spacing w:after="60" w:line="360"/>
        <w:ind w:firstLine="850"/>
        <w:jc w:val="both"/>
      </w:pPr>
      <w:r>
        <w:rPr/>
        <w:t xml:space="preserve">Nesse sentido, o entendimento do E. TJ/SP:</w:t>
      </w:r>
    </w:p>
    <w:p>
      <w:pPr>
        <w:pBdr>
          <w:top w:val="single" w:color="9AA0A6" w:sz="4" w:space="6"/>
          <w:bottom w:val="single" w:color="9AA0A6" w:sz="4" w:space="6"/>
        </w:pBdr>
        <w:spacing w:after="200" w:before="160" w:line="240"/>
        <w:ind w:left="2270" w:right="570"/>
        <w:jc w:val="both"/>
      </w:pPr>
      <w:r>
        <w:rPr>
          <w:i/>
          <w:iCs/>
          <w:sz w:val="18"/>
          <w:szCs w:val="18"/>
        </w:rPr>
        <w:t xml:space="preserve">“AGRAVO DE INSTRUMENTO. AÇÃO DE REPACTUAÇÃO DE DÍVIDAS (SUPERENDIVIDAMENTO). DECISÃO QUE DEFERIU A TUTELA DE URGÊNCIA PARA A LIMITAÇÃO DOS DESCONTOS NOS RENDIMENTOS LÍQUIDOS DA AUTORA. BANCO RÉU AGRAVA. ARTIGOS 104-A A 104-C, CDC, INCLUÍDOS PELA LEI Nº 14.181 DE 2021 (LEI DO SUPERENDIVIDAMENTO). REQUISITOS DO ARTIGO 300, DO CPC PREENCHIDOS. CABÍVEL A LIMITAÇÃO DOS DESCONTOS A 30% DOS VENCIMENTOS LÍQUIDOS DA AUTORA ATÉ A AUDIÊNCIA DE CONCILIAÇÃO, COM A PRECÍPUA FINALIDADE DE RESGUARDAR-LHE O MÍNIMO EXISTENCIAL. MULTA POR DESCUMPRIMENTO QUE SE MOSTRA EXCESSIVA. REDUÇÃO E FIXAÇÃO DE UM TETO. MULTA REDUZIDA PARA R$ 500,00 POR ATO DE DESCUMPRIMENTO E LIMITE MÁXIMO FIXADO EM R$ 20.000,00. DECISÃO REFORMADA EM PARTE. RECURSO PARCIALMENTE PROVIDO.” (TJSP; Agravo de Instrumento nº 2200574-68.2024.8.26.0000; Rel. Des. Júlio César Franco; 22ª Câmara de Direito Privado; j. 20/08/2024) – g.n.</w:t>
      </w:r>
    </w:p>
    <w:p>
      <w:pPr>
        <w:pBdr>
          <w:top w:val="single" w:color="9AA0A6" w:sz="4" w:space="6"/>
          <w:bottom w:val="single" w:color="9AA0A6" w:sz="4" w:space="6"/>
        </w:pBdr>
        <w:spacing w:after="200" w:before="160" w:line="240"/>
        <w:ind w:left="2270" w:right="570"/>
        <w:jc w:val="both"/>
      </w:pPr>
      <w:r>
        <w:rPr>
          <w:i/>
          <w:iCs/>
          <w:sz w:val="18"/>
          <w:szCs w:val="18"/>
        </w:rPr>
        <w:t xml:space="preserve">“AGRAVO DE INSTRUMENTO. Pretensão à limitação de descontos em 30% da remuneração líquida. Admissibilidade. Demanda fundada na Lei nº 14.181/21 (lei do superendividamento). Hipótese em que não tem aplicação o entendimento firmado pelo C. Superior Tribunal de Justiça no julgamento do Recurso Especial Repetitivo nº 1.863.973-SP. Presença dos requisitos do artigo 300, ‘caput’, do Código de Processo Civil. Decisão reformada. Recurso provido.” (TJSP; Agravo de Instrumento nº 2291170-69.2022.8.26.0000; Rel. Jairo Brazil; 15ª Câmara de Direito Privado; Foro de Valparaíso – 1ª Vara; j. 29/03/2023) – g.n.</w:t>
      </w:r>
    </w:p>
    <w:p>
      <w:pPr>
        <w:pBdr>
          <w:top w:val="single" w:color="9AA0A6" w:sz="4" w:space="6"/>
          <w:bottom w:val="single" w:color="9AA0A6" w:sz="4" w:space="6"/>
        </w:pBdr>
        <w:spacing w:after="200" w:before="160" w:line="240"/>
        <w:ind w:left="2270" w:right="570"/>
        <w:jc w:val="both"/>
      </w:pPr>
      <w:r>
        <w:rPr>
          <w:i/>
          <w:iCs/>
          <w:sz w:val="18"/>
          <w:szCs w:val="18"/>
        </w:rPr>
        <w:t xml:space="preserve">“AGRAVO DE INSTRUMENTO – AÇÃO DE OBRIGAÇÃO DE FAZER – LIMITAÇÃO DE DESCONTOS EM CONTRATOS – Decisão que concede antecipação dos efeitos da tutela de urgência, para determinar que o réu limite as cobranças dos empréstimos, contratados pelo autor, a valores que não ultrapassem o limite de 30% dos seus vencimentos, sob pena de fixação de multa diária – Superendividamento caracterizado (art. 54-A, § 1º, do CDC, incluído pela Lei 14.181/2021) – Necessidade de preservação da dignidade da pessoa humana (CF, art. 1º, III) e da proteção à natureza alimentar do salário (CF, art. 7º, IV e X) – Preenchidos os requisitos autorizadores da concessão da tutela de urgência (art. 300 do CPC) – Decisão mantida – RECURSO DESPROVIDO.” (TJSP; Agravo de Instrumento nº 2005866-86.2022.8.26.0000; Rel. Ana Catarina Strauch; 37ª Câmara de Direito Privado; Foro de Jaboticabal – 2ª Vara Cível; j. 31/03/2022) – g.n.</w:t>
      </w:r>
    </w:p>
    <w:p>
      <w:pPr>
        <w:keepNext/>
        <w:shd w:fill="123BB8" w:color="auto" w:val="clear"/>
        <w:tabs>
          <w:tab w:val="left" w:pos="1000"/>
        </w:tabs>
        <w:spacing w:after="240" w:before="360" w:line="360"/>
        <w:ind w:left="0"/>
      </w:pPr>
      <w:r>
        <w:rPr>
          <w:b/>
          <w:bCs/>
          <w:i/>
          <w:iCs/>
          <w:color w:val="FFFFFF"/>
        </w:rPr>
        <w:t xml:space="preserve">	Dos pedidos e demais requerimentos.</w:t>
      </w:r>
    </w:p>
    <w:p>
      <w:pPr>
        <w:spacing w:after="60" w:line="360"/>
        <w:ind w:firstLine="850"/>
        <w:jc w:val="both"/>
      </w:pPr>
      <w:r>
        <w:rPr/>
        <w:t xml:space="preserve">Ante o exposto, requer se digne Vossa Excelência:</w:t>
      </w:r>
    </w:p>
    <w:p>
      <w:pPr>
        <w:spacing w:after="60" w:line="360"/>
        <w:ind w:firstLine="850"/>
        <w:jc w:val="both"/>
      </w:pPr>
      <w:r>
        <w:rPr/>
        <w:t xml:space="preserve">a) conceder os benefícios da gratuidade da justiça (arts. 98 e 99 do CPC);</w:t>
      </w:r>
    </w:p>
    <w:p>
      <w:pPr>
        <w:spacing w:after="60" w:line="360"/>
        <w:ind w:firstLine="850"/>
        <w:jc w:val="both"/>
      </w:pPr>
      <w:r>
        <w:rPr/>
        <w:t xml:space="preserve">b) conceder a TUTELA DE URGÊNCIA, inaudita altera pars, para determinar:</w:t>
      </w:r>
    </w:p>
    <w:p>
      <w:pPr>
        <w:spacing w:after="60" w:line="360"/>
        <w:ind w:firstLine="850"/>
        <w:jc w:val="both"/>
      </w:pPr>
      <w:r>
        <w:rPr/>
        <w:t xml:space="preserve">b.1) que o Réu limite a totalidade dos descontos relativos às dívidas objeto desta ação (consignados em benefício e débitos em conta corrente) a 35% (trinta e cinco por cento) dos rendimentos líquidos do Autor, até a homologação do plano de pagamento ou o julgamento final da demanda;</w:t>
      </w:r>
    </w:p>
    <w:p>
      <w:pPr>
        <w:spacing w:after="60" w:line="360"/>
        <w:ind w:firstLine="850"/>
        <w:jc w:val="both"/>
      </w:pPr>
      <w:r>
        <w:rPr/>
        <w:t xml:space="preserve">b.2) a suspensão da exigibilidade dos valores excedentes, ao menos até a realização da audiência de conciliação prevista no art. 104-A do CDC, sem incidência de encargos moratórios sobre eles;</w:t>
      </w:r>
    </w:p>
    <w:p>
      <w:pPr>
        <w:spacing w:after="60" w:line="360"/>
        <w:ind w:firstLine="850"/>
        <w:jc w:val="both"/>
      </w:pPr>
      <w:r>
        <w:rPr/>
        <w:t xml:space="preserve">b.3) que o Réu se abstenha de inscrever o nome do Autor em cadastros de inadimplentes e de promover cobranças judiciais ou extrajudiciais relativas aos contratos objeto desta repactuação;</w:t>
      </w:r>
    </w:p>
    <w:p>
      <w:pPr>
        <w:spacing w:after="60" w:line="360"/>
        <w:ind w:firstLine="850"/>
        <w:jc w:val="both"/>
      </w:pPr>
      <w:r>
        <w:rPr/>
        <w:t xml:space="preserve">b.4) a fixação de multa de R$ </w:t>
      </w:r>
      <w:r>
        <w:rPr>
          <w:highlight w:val="yellow"/>
        </w:rPr>
        <w:t xml:space="preserve">[500,00]</w:t>
      </w:r>
      <w:r>
        <w:rPr/>
        <w:t xml:space="preserve"> por ato de descumprimento, limitada a R$ </w:t>
      </w:r>
      <w:r>
        <w:rPr>
          <w:highlight w:val="yellow"/>
        </w:rPr>
        <w:t xml:space="preserve">[__]</w:t>
      </w:r>
      <w:r>
        <w:rPr/>
        <w:t xml:space="preserve">, sem prejuízo de outras medidas coercitivas (art. 537 do CPC);</w:t>
      </w:r>
    </w:p>
    <w:p>
      <w:pPr>
        <w:spacing w:after="60" w:line="360"/>
        <w:ind w:firstLine="850"/>
        <w:jc w:val="both"/>
      </w:pPr>
      <w:r>
        <w:rPr/>
        <w:t xml:space="preserve">c) a citação do Banco Réu para comparecer à audiência de conciliação, preferencialmente na forma virtual, sob pena das sanções do art. 104-A, § 2º, do CDC;</w:t>
      </w:r>
    </w:p>
    <w:p>
      <w:pPr>
        <w:spacing w:after="60" w:line="360"/>
        <w:ind w:firstLine="850"/>
        <w:jc w:val="both"/>
      </w:pPr>
      <w:r>
        <w:rPr/>
        <w:t xml:space="preserve">d) a inversão do ônus da prova (art. 6º, VIII, do CDC), determinando-se que o Réu apresente, em até 15 (quinze) dias antes da audiência de conciliação, os contratos referentes às dívidas que se pretende repactuar e o demonstrativo atualizado do saldo devedor de cada um deles;</w:t>
      </w:r>
    </w:p>
    <w:p>
      <w:pPr>
        <w:spacing w:after="60" w:line="360"/>
        <w:ind w:firstLine="850"/>
        <w:jc w:val="both"/>
      </w:pPr>
      <w:r>
        <w:rPr/>
        <w:t xml:space="preserve">e) a homologação, por sentença, de eventual acordo celebrado entre as partes (art. 104-A, § 3º, do CDC);</w:t>
      </w:r>
    </w:p>
    <w:p>
      <w:pPr>
        <w:spacing w:after="60" w:line="360"/>
        <w:ind w:firstLine="850"/>
        <w:jc w:val="both"/>
      </w:pPr>
      <w:r>
        <w:rPr/>
        <w:t xml:space="preserve">f) em caso de acordo parcial ou de inexistência de acordo, a instauração do processo por superendividamento para revisão e integração dos contratos e repactuação das dívidas remanescentes mediante plano judicial compulsório, nos termos do art. 104-B do CDC;</w:t>
      </w:r>
    </w:p>
    <w:p>
      <w:pPr>
        <w:spacing w:after="60" w:line="360"/>
        <w:ind w:firstLine="850"/>
        <w:jc w:val="both"/>
      </w:pPr>
      <w:r>
        <w:rPr/>
        <w:t xml:space="preserve">g) a revisão dos contratos firmados entre as partes, com a adequação dos juros remuneratórios à taxa média de mercado divulgada pelo Banco Central do Brasil, quando constatada a abusividade, e a redução dos encargos, nos termos do art. 54-D, parágrafo único, do CDC;</w:t>
      </w:r>
    </w:p>
    <w:p>
      <w:pPr>
        <w:spacing w:after="60" w:line="360"/>
        <w:ind w:firstLine="850"/>
        <w:jc w:val="both"/>
      </w:pPr>
      <w:r>
        <w:rPr/>
        <w:t xml:space="preserve">h) a condenação do Réu ao pagamento das custas processuais e de honorários advocatícios, no importe de 20% (vinte por cento) sobre o proveito econômico obtido (art. 85, § 2º, do CPC).</w:t>
      </w:r>
    </w:p>
    <w:p>
      <w:pPr>
        <w:spacing w:after="60" w:line="360"/>
        <w:ind w:firstLine="850"/>
        <w:jc w:val="both"/>
      </w:pPr>
      <w:r>
        <w:rPr/>
        <w:t xml:space="preserve">Protesta provar o alegado por todos os meios de prova em direito admitidos, especialmente a prova documental anexa e a juntada de documentos complementares no curso da instrução.</w:t>
      </w:r>
    </w:p>
    <w:p>
      <w:pPr>
        <w:spacing w:after="60" w:line="360"/>
        <w:ind w:firstLine="850"/>
        <w:jc w:val="both"/>
      </w:pPr>
      <w:r>
        <w:rPr/>
        <w:t xml:space="preserve">Requer, por fim, que todas as intimações e publicações sejam efetuadas exclusivamente em nome de seu advogado, ANTÔNIO DE PÁDUA SANTOS NETO, OAB/PI 21.320, com endereço profissional na Rua Rio Grande do Sul, nº 1641, Bairro São Miguel, Miguel Alves-PI, e-mail paduanetojus@gmail.com, telefone/WhatsApp (86) 9 7400-9869, sob pena de nulidade (art. 272, § 5º, do CPC).</w:t>
      </w:r>
    </w:p>
    <w:p>
      <w:pPr>
        <w:spacing w:after="60" w:line="360"/>
        <w:ind w:firstLine="850"/>
        <w:jc w:val="both"/>
      </w:pPr>
      <w:r>
        <w:rPr/>
        <w:t xml:space="preserve">Dá-se à causa o valor de R$ </w:t>
      </w:r>
      <w:r>
        <w:rPr>
          <w:highlight w:val="yellow"/>
        </w:rPr>
        <w:t xml:space="preserve">[__]</w:t>
      </w:r>
      <w:r>
        <w:rPr/>
        <w:t xml:space="preserve"> (</w:t>
      </w:r>
      <w:r>
        <w:rPr>
          <w:highlight w:val="yellow"/>
        </w:rPr>
        <w:t xml:space="preserve">[valor por extenso]</w:t>
      </w:r>
      <w:r>
        <w:rPr/>
        <w:t xml:space="preserve">), correspondente à soma dos saldos devedores das dívidas objeto da repactuação.</w:t>
      </w:r>
    </w:p>
    <w:p>
      <w:pPr>
        <w:spacing w:after="0" w:line="360"/>
      </w:pPr>
    </w:p>
    <w:p>
      <w:pPr>
        <w:spacing w:after="0" w:line="360"/>
        <w:jc w:val="center"/>
      </w:pPr>
      <w:r>
        <w:rPr/>
        <w:t xml:space="preserve">Nestes termos,</w:t>
      </w:r>
    </w:p>
    <w:p>
      <w:pPr>
        <w:spacing w:after="0" w:line="360"/>
        <w:jc w:val="center"/>
      </w:pPr>
      <w:r>
        <w:rPr/>
        <w:t xml:space="preserve">Pede deferimento.</w:t>
      </w:r>
    </w:p>
    <w:p>
      <w:pPr>
        <w:spacing w:after="0" w:line="360"/>
        <w:jc w:val="center"/>
      </w:pPr>
      <w:r>
        <w:rPr>
          <w:highlight w:val="yellow"/>
        </w:rPr>
        <w:t xml:space="preserve">[Cidade]</w:t>
      </w:r>
      <w:r>
        <w:rPr/>
        <w:t xml:space="preserve">-</w:t>
      </w:r>
      <w:r>
        <w:rPr>
          <w:highlight w:val="yellow"/>
        </w:rPr>
        <w:t xml:space="preserve">[UF]</w:t>
      </w:r>
      <w:r>
        <w:rPr/>
        <w:t xml:space="preserve">, datado eletronicamente.</w:t>
      </w:r>
    </w:p>
    <w:p>
      <w:pPr>
        <w:spacing w:after="0" w:line="360"/>
      </w:pPr>
    </w:p>
    <w:p>
      <w:pPr>
        <w:spacing w:after="0" w:line="360"/>
        <w:jc w:val="center"/>
      </w:pPr>
      <w:r>
        <w:rPr>
          <w:b/>
          <w:bCs/>
        </w:rPr>
        <w:t xml:space="preserve">ANTÔNIO DE PÁDUA SANTOS NETO</w:t>
      </w:r>
    </w:p>
    <w:p>
      <w:pPr>
        <w:spacing w:after="0" w:line="360"/>
        <w:jc w:val="center"/>
      </w:pPr>
      <w:r>
        <w:rPr>
          <w:b/>
          <w:bCs/>
        </w:rPr>
        <w:t xml:space="preserve">ADVOGADO - OAB/PI 21.320</w:t>
      </w:r>
    </w:p>
    <w:p>
      <w:pPr>
        <w:keepNext/>
        <w:shd w:fill="123BB8" w:color="auto" w:val="clear"/>
        <w:tabs>
          <w:tab w:val="left" w:pos="1000"/>
        </w:tabs>
        <w:spacing w:after="240" w:before="360" w:line="360"/>
        <w:ind w:left="0"/>
      </w:pPr>
      <w:r>
        <w:rPr>
          <w:b/>
          <w:bCs/>
          <w:i/>
          <w:iCs/>
          <w:color w:val="FFFFFF"/>
        </w:rPr>
        <w:t xml:space="preserve">	Rol de documentos.</w:t>
      </w:r>
    </w:p>
    <w:p>
      <w:pPr>
        <w:spacing w:after="60" w:line="360"/>
        <w:ind w:left="1134" w:hanging="284"/>
        <w:jc w:val="both"/>
      </w:pPr>
      <w:r>
        <w:rPr/>
        <w:t xml:space="preserve">•	01 – </w:t>
      </w:r>
      <w:r>
        <w:rPr>
          <w:highlight w:val="yellow"/>
        </w:rPr>
        <w:t xml:space="preserve">[Ofício de nomeação]</w:t>
      </w:r>
    </w:p>
    <w:p>
      <w:pPr>
        <w:spacing w:after="60" w:line="360"/>
        <w:ind w:left="1134" w:hanging="284"/>
        <w:jc w:val="both"/>
      </w:pPr>
      <w:r>
        <w:rPr/>
        <w:t xml:space="preserve">•	02 – Procuração</w:t>
      </w:r>
    </w:p>
    <w:p>
      <w:pPr>
        <w:spacing w:after="60" w:line="360"/>
        <w:ind w:left="1134" w:hanging="284"/>
        <w:jc w:val="both"/>
      </w:pPr>
      <w:r>
        <w:rPr/>
        <w:t xml:space="preserve">•	03 – Declaração de hipossuficiência</w:t>
      </w:r>
    </w:p>
    <w:p>
      <w:pPr>
        <w:spacing w:after="60" w:line="360"/>
        <w:ind w:left="1134" w:hanging="284"/>
        <w:jc w:val="both"/>
      </w:pPr>
      <w:r>
        <w:rPr/>
        <w:t xml:space="preserve">•	04 – Declaração do INSS</w:t>
      </w:r>
    </w:p>
    <w:p>
      <w:pPr>
        <w:spacing w:after="60" w:line="360"/>
        <w:ind w:left="1134" w:hanging="284"/>
        <w:jc w:val="both"/>
      </w:pPr>
      <w:r>
        <w:rPr/>
        <w:t xml:space="preserve">•	05 – Histórico de créditos do INSS</w:t>
      </w:r>
    </w:p>
    <w:p>
      <w:pPr>
        <w:spacing w:after="60" w:line="360"/>
        <w:ind w:left="1134" w:hanging="284"/>
        <w:jc w:val="both"/>
      </w:pPr>
      <w:r>
        <w:rPr/>
        <w:t xml:space="preserve">•	06 – Histórico de empréstimo consignado do INSS</w:t>
      </w:r>
    </w:p>
    <w:p>
      <w:pPr>
        <w:spacing w:after="60" w:line="360"/>
        <w:ind w:left="1134" w:hanging="284"/>
        <w:jc w:val="both"/>
      </w:pPr>
      <w:r>
        <w:rPr/>
        <w:t xml:space="preserve">•	07 a </w:t>
      </w:r>
      <w:r>
        <w:rPr>
          <w:highlight w:val="yellow"/>
        </w:rPr>
        <w:t xml:space="preserve">[__]</w:t>
      </w:r>
      <w:r>
        <w:rPr/>
        <w:t xml:space="preserve"> – Extratos bancários (</w:t>
      </w:r>
      <w:r>
        <w:rPr>
          <w:highlight w:val="yellow"/>
        </w:rPr>
        <w:t xml:space="preserve">[meses]</w:t>
      </w:r>
      <w:r>
        <w:rPr/>
        <w:t xml:space="preserve">)</w:t>
      </w:r>
    </w:p>
    <w:p>
      <w:pPr>
        <w:spacing w:after="60" w:line="360"/>
        <w:ind w:left="1134" w:hanging="284"/>
        <w:jc w:val="both"/>
      </w:pPr>
      <w:r>
        <w:rPr/>
        <w:t xml:space="preserve">•	</w:t>
      </w:r>
      <w:r>
        <w:rPr>
          <w:highlight w:val="yellow"/>
        </w:rPr>
        <w:t xml:space="preserve">[__]</w:t>
      </w:r>
      <w:r>
        <w:rPr/>
        <w:t xml:space="preserve"> – Relatórios médicos, exames de imagem e receituários</w:t>
      </w:r>
    </w:p>
    <w:p>
      <w:pPr>
        <w:spacing w:after="60" w:line="360"/>
        <w:ind w:left="1134" w:hanging="284"/>
        <w:jc w:val="both"/>
      </w:pPr>
      <w:r>
        <w:rPr/>
        <w:t xml:space="preserve">•	</w:t>
      </w:r>
      <w:r>
        <w:rPr>
          <w:highlight w:val="yellow"/>
        </w:rPr>
        <w:t xml:space="preserve">[__]</w:t>
      </w:r>
      <w:r>
        <w:rPr/>
        <w:t xml:space="preserve"> – Documentos do imóvel (procuração, transferência, parcelas)</w:t>
      </w:r>
    </w:p>
    <w:p>
      <w:pPr>
        <w:spacing w:after="60" w:line="360"/>
        <w:ind w:left="1134" w:hanging="284"/>
        <w:jc w:val="both"/>
      </w:pPr>
      <w:r>
        <w:rPr/>
        <w:t xml:space="preserve">•	</w:t>
      </w:r>
      <w:r>
        <w:rPr>
          <w:highlight w:val="yellow"/>
        </w:rPr>
        <w:t xml:space="preserve">[__]</w:t>
      </w:r>
      <w:r>
        <w:rPr/>
        <w:t xml:space="preserve"> – Comprovantes de despesas (alimentação, água, luz, medicamentos, despesas médicas)</w:t>
      </w:r>
    </w:p>
    <w:p>
      <w:pPr>
        <w:spacing w:after="60" w:line="360"/>
        <w:ind w:left="1134" w:hanging="284"/>
        <w:jc w:val="both"/>
      </w:pPr>
      <w:r>
        <w:rPr/>
        <w:t xml:space="preserve">•	</w:t>
      </w:r>
      <w:r>
        <w:rPr>
          <w:highlight w:val="yellow"/>
        </w:rPr>
        <w:t xml:space="preserve">[__]</w:t>
      </w:r>
      <w:r>
        <w:rPr/>
        <w:t xml:space="preserve"> – Documentos do CEJUSC (tentativa de conciliação extrajudicial)</w:t>
      </w:r>
    </w:p>
    <w:sectPr>
      <w:headerReference w:type="default" r:id="rId7"/>
      <w:footerReference w:type="default" r:id="rId8"/>
      <w:pgSz w:w="11906" w:h="16838" w:orient="portrait"/>
      <w:pgMar w:top="2330" w:right="1134" w:bottom="15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A0A6" w:sz="6" w:space="4"/>
      </w:pBdr>
      <w:spacing w:line="240"/>
      <w:jc w:val="center"/>
    </w:pPr>
    <w:r>
      <w:rPr>
        <w:b/>
        <w:bCs/>
        <w:i/>
        <w:iCs/>
        <w:color w:val="123BB8"/>
        <w:sz w:val="16"/>
        <w:szCs w:val="16"/>
      </w:rPr>
      <w:t xml:space="preserve">Rua Rio Grande do Sul, 1641, bairro São Miguel, CEP: 64.130-000, Miguel Alves-PI - (86) 9 7400-9869 - paduanetojus@gmail.com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drawing>
        <wp:inline distT="0" distB="0" distL="0" distR="0">
          <wp:extent cx="18097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09750" cy="952500"/>
                  </a:xfrm>
                  <a:prstGeom prst="rect">
                    <a:avLst/>
                  </a:prstGeom>
                </pic:spPr>
              </pic:pic>
            </a:graphicData>
          </a:graphic>
        </wp:inline>
      </w:drawing>
    </w:r>
  </w:p>
  <w:p>
    <w:pPr>
      <w:pBdr>
        <w:bottom w:val="single" w:color="9AA0A6" w:sz="6"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ora" w:cs="Lora" w:eastAsia="Lora" w:hAnsi="Lor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2a26ce5428c3d3d8b74c564df80a7d487fd53a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1 - Repactuação - banco único - INSS consignado e débito em conta</dc:title>
  <dc:creator>Antônio de Pádua Santos Neto</dc:creator>
  <cp:lastModifiedBy>Un-named</cp:lastModifiedBy>
  <cp:revision>1</cp:revision>
  <dcterms:created xsi:type="dcterms:W3CDTF">2026-10-03T02:33:01.698Z</dcterms:created>
  <dcterms:modified xsi:type="dcterms:W3CDTF">2026-10-03T02:33:01.705Z</dcterms:modified>
</cp:coreProperties>
</file>

<file path=docProps/custom.xml><?xml version="1.0" encoding="utf-8"?>
<Properties xmlns="http://schemas.openxmlformats.org/officeDocument/2006/custom-properties" xmlns:vt="http://schemas.openxmlformats.org/officeDocument/2006/docPropsVTypes"/>
</file>