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jc w:val="both"/>
      </w:pPr>
      <w:r>
        <w:rPr>
          <w:b/>
          <w:bCs/>
        </w:rPr>
        <w:t xml:space="preserve">EXCELENTÍSSIMO(A) SENHOR(A) DOUTOR(A) JUIZ(A) DE DIREITO DA </w:t>
      </w:r>
      <w:r>
        <w:rPr>
          <w:b/>
          <w:bCs/>
          <w:highlight w:val="yellow"/>
        </w:rPr>
        <w:t xml:space="preserve">[__]</w:t>
      </w:r>
      <w:r>
        <w:rPr>
          <w:b/>
          <w:bCs/>
        </w:rPr>
        <w:t xml:space="preserve">ª VARA CÍVEL DA COMARCA DE </w:t>
      </w:r>
      <w:r>
        <w:rPr>
          <w:b/>
          <w:bCs/>
          <w:highlight w:val="yellow"/>
        </w:rPr>
        <w:t xml:space="preserve">[CIDADE/UF]</w:t>
      </w:r>
    </w:p>
    <w:p>
      <w:pPr>
        <w:spacing w:after="0" w:line="360"/>
        <w:jc w:val="both"/>
      </w:pPr>
      <w:r>
        <w:rPr>
          <w:highlight w:val="yellow"/>
        </w:rPr>
        <w:t xml:space="preserve">[NOME DA PARTE DEVEDORA]</w:t>
      </w:r>
      <w:r>
        <w:rPr/>
        <w:t xml:space="preserve">, </w:t>
      </w:r>
      <w:r>
        <w:rPr>
          <w:highlight w:val="yellow"/>
        </w:rPr>
        <w:t xml:space="preserve">[nacionalidade]</w:t>
      </w:r>
      <w:r>
        <w:rPr/>
        <w:t xml:space="preserve">, </w:t>
      </w:r>
      <w:r>
        <w:rPr>
          <w:highlight w:val="yellow"/>
        </w:rPr>
        <w:t xml:space="preserve">[estado civil]</w:t>
      </w:r>
      <w:r>
        <w:rPr/>
        <w:t xml:space="preserve">, </w:t>
      </w:r>
      <w:r>
        <w:rPr>
          <w:highlight w:val="yellow"/>
        </w:rPr>
        <w:t xml:space="preserve">[profissão]</w:t>
      </w:r>
      <w:r>
        <w:rPr/>
        <w:t xml:space="preserve">, portador(a) do RG nº </w:t>
      </w:r>
      <w:r>
        <w:rPr>
          <w:highlight w:val="yellow"/>
        </w:rPr>
        <w:t xml:space="preserve">[__]</w:t>
      </w:r>
      <w:r>
        <w:rPr/>
        <w:t xml:space="preserve">, inscrito(a) no CPF sob o nº </w:t>
      </w:r>
      <w:r>
        <w:rPr>
          <w:highlight w:val="yellow"/>
        </w:rPr>
        <w:t xml:space="preserve">[___.___.___-__]</w:t>
      </w:r>
      <w:r>
        <w:rPr/>
        <w:t xml:space="preserve">, domiciliado(a) na Rua </w:t>
      </w:r>
      <w:r>
        <w:rPr>
          <w:highlight w:val="yellow"/>
        </w:rPr>
        <w:t xml:space="preserve">[__]</w:t>
      </w:r>
      <w:r>
        <w:rPr/>
        <w:t xml:space="preserve">, nº </w:t>
      </w:r>
      <w:r>
        <w:rPr>
          <w:highlight w:val="yellow"/>
        </w:rPr>
        <w:t xml:space="preserve">[__]</w:t>
      </w:r>
      <w:r>
        <w:rPr/>
        <w:t xml:space="preserve">, Bairro </w:t>
      </w:r>
      <w:r>
        <w:rPr>
          <w:highlight w:val="yellow"/>
        </w:rPr>
        <w:t xml:space="preserve">[__]</w:t>
      </w:r>
      <w:r>
        <w:rPr/>
        <w:t xml:space="preserve">, CEP </w:t>
      </w:r>
      <w:r>
        <w:rPr>
          <w:highlight w:val="yellow"/>
        </w:rPr>
        <w:t xml:space="preserve">[__.___-___]</w:t>
      </w:r>
      <w:r>
        <w:rPr/>
        <w:t xml:space="preserve">, na comarca de </w:t>
      </w:r>
      <w:r>
        <w:rPr>
          <w:highlight w:val="yellow"/>
        </w:rPr>
        <w:t xml:space="preserve">[Cidade/UF]</w:t>
      </w:r>
      <w:r>
        <w:rPr/>
        <w:t xml:space="preserve">, endereço eletrônico </w:t>
      </w:r>
      <w:r>
        <w:rPr>
          <w:highlight w:val="yellow"/>
        </w:rPr>
        <w:t xml:space="preserve">[__]</w:t>
      </w:r>
      <w:r>
        <w:rPr/>
        <w:t xml:space="preserve">, vem, respeitosamente, por meio de seu advogado, ANTÔNIO DE PÁDUA SANTOS NETO, advogado, inscrito nos quadros da OAB-PI sob o nº 21.320, constituído mediante procuração em anexo, cujo endereço físico está situado na Rua Rio Grande do Sul, nº 1641, Bairro São Miguel, Miguel Alves-PI, CEP nº: 64.130-000 e eletrônico: paduanetojus@gmail.com, com fundamento nos arts. 6º, 54-A, 54-D, 104-A e 104-B do CDC, incluídos pela Lei nº 14.181/2021, propor a presente</w:t>
      </w:r>
    </w:p>
    <w:p>
      <w:pPr>
        <w:spacing w:before="120" w:after="120" w:line="360"/>
        <w:jc w:val="center"/>
      </w:pPr>
      <w:r>
        <w:rPr>
          <w:b/>
          <w:bCs/>
        </w:rPr>
        <w:t xml:space="preserve">AÇÃO DE REPACTUAÇÃO DE DÍVIDAS C/C PEDIDO DE TUTELA DE URGÊNCIA</w:t>
      </w:r>
    </w:p>
    <w:p>
      <w:pPr>
        <w:spacing w:after="60" w:line="360"/>
        <w:ind w:firstLine="850"/>
        <w:jc w:val="both"/>
      </w:pPr>
      <w:r>
        <w:rPr/>
        <w:t xml:space="preserve">em face de </w:t>
      </w:r>
      <w:r>
        <w:rPr>
          <w:b/>
          <w:bCs/>
          <w:highlight w:val="yellow"/>
        </w:rPr>
        <w:t xml:space="preserve">[NOME DA PARTE CREDORA]</w:t>
      </w:r>
      <w:r>
        <w:rPr/>
        <w:t xml:space="preserve">, pessoa jurídica de direito privado, inscrita no CNPJ sob o nº </w:t>
      </w:r>
      <w:r>
        <w:rPr>
          <w:highlight w:val="yellow"/>
        </w:rPr>
        <w:t xml:space="preserve">[__.___.___/____-__]</w:t>
      </w:r>
      <w:r>
        <w:rPr/>
        <w:t xml:space="preserve">, com sede na Rua </w:t>
      </w:r>
      <w:r>
        <w:rPr>
          <w:highlight w:val="yellow"/>
        </w:rPr>
        <w:t xml:space="preserve">[__]</w:t>
      </w:r>
      <w:r>
        <w:rPr/>
        <w:t xml:space="preserve">, nº </w:t>
      </w:r>
      <w:r>
        <w:rPr>
          <w:highlight w:val="yellow"/>
        </w:rPr>
        <w:t xml:space="preserve">[__]</w:t>
      </w:r>
      <w:r>
        <w:rPr/>
        <w:t xml:space="preserve">, Bairro </w:t>
      </w:r>
      <w:r>
        <w:rPr>
          <w:highlight w:val="yellow"/>
        </w:rPr>
        <w:t xml:space="preserve">[__]</w:t>
      </w:r>
      <w:r>
        <w:rPr/>
        <w:t xml:space="preserve">, CEP </w:t>
      </w:r>
      <w:r>
        <w:rPr>
          <w:highlight w:val="yellow"/>
        </w:rPr>
        <w:t xml:space="preserve">[__.___-___]</w:t>
      </w:r>
      <w:r>
        <w:rPr/>
        <w:t xml:space="preserve">, na comarca de </w:t>
      </w:r>
      <w:r>
        <w:rPr>
          <w:highlight w:val="yellow"/>
        </w:rPr>
        <w:t xml:space="preserve">[Cidade/UF]</w:t>
      </w:r>
      <w:r>
        <w:rPr/>
        <w:t xml:space="preserve">, endereço eletrônico </w:t>
      </w:r>
      <w:r>
        <w:rPr>
          <w:highlight w:val="yellow"/>
        </w:rPr>
        <w:t xml:space="preserve">[__]</w:t>
      </w:r>
      <w:r>
        <w:rPr/>
        <w:t xml:space="preserve">; </w:t>
      </w:r>
      <w:r>
        <w:rPr>
          <w:highlight w:val="yellow"/>
        </w:rPr>
        <w:t xml:space="preserve">[repetir a qualificação completa para cada credor]</w:t>
      </w:r>
      <w:r>
        <w:rPr/>
        <w:t xml:space="preserve">, pelos fatos e fundamentos jurídicos a seguir apresentados.</w:t>
      </w:r>
    </w:p>
    <w:p>
      <w:pPr>
        <w:keepNext/>
        <w:shd w:fill="123BB8" w:color="auto" w:val="clear"/>
        <w:tabs>
          <w:tab w:val="left" w:pos="1000"/>
        </w:tabs>
        <w:spacing w:after="240" w:before="360" w:line="360"/>
        <w:ind w:left="0"/>
      </w:pPr>
      <w:r>
        <w:rPr>
          <w:b/>
          <w:bCs/>
          <w:i/>
          <w:iCs/>
          <w:color w:val="FFFFFF"/>
        </w:rPr>
        <w:t xml:space="preserve">	Da justiça gratuita.</w:t>
      </w:r>
    </w:p>
    <w:p>
      <w:pPr>
        <w:spacing w:after="60" w:line="360"/>
        <w:ind w:firstLine="850"/>
        <w:jc w:val="both"/>
      </w:pPr>
      <w:r>
        <w:rPr/>
        <w:t xml:space="preserve">A Constituição Federal, em seu art. 5º, LXXIV, estabelece que “o Estado prestará assistência jurídica integral e gratuita aos que comprovarem insuficiência de recursos”.</w:t>
      </w:r>
    </w:p>
    <w:p>
      <w:pPr>
        <w:spacing w:after="60" w:line="360"/>
        <w:ind w:firstLine="850"/>
        <w:jc w:val="both"/>
      </w:pPr>
      <w:r>
        <w:rPr/>
        <w:t xml:space="preserve">Em consonância com essa premissa, o Código de Defesa do Consumidor prevê, entre os instrumentos de execução da Política Nacional das Relações de Consumo, a “manutenção de assistência jurídica, integral e gratuita para o consumidor carente” (art. 5º, I), rol que a Lei nº 14.181/2021 reforçou ao incluir mecanismos de prevenção e tratamento do superendividamento (art. 5º, VI e VII).</w:t>
      </w:r>
    </w:p>
    <w:p>
      <w:pPr>
        <w:spacing w:after="60" w:line="360"/>
        <w:ind w:firstLine="850"/>
        <w:jc w:val="both"/>
      </w:pPr>
      <w:r>
        <w:rPr/>
        <w:t xml:space="preserve">No caso, a parte autora é </w:t>
      </w:r>
      <w:r>
        <w:rPr>
          <w:highlight w:val="yellow"/>
        </w:rPr>
        <w:t xml:space="preserve">[profissão]</w:t>
      </w:r>
      <w:r>
        <w:rPr/>
        <w:t xml:space="preserve"> e tem rendimentos mensais de R$ </w:t>
      </w:r>
      <w:r>
        <w:rPr>
          <w:highlight w:val="yellow"/>
        </w:rPr>
        <w:t xml:space="preserve">[__]</w:t>
      </w:r>
      <w:r>
        <w:rPr/>
        <w:t xml:space="preserve">, não tendo condições de arcar com as custas processuais e honorários sem prejuízo do próprio sustento, conforme documentação anexa </w:t>
      </w:r>
      <w:r>
        <w:rPr>
          <w:highlight w:val="yellow"/>
        </w:rPr>
        <w:t xml:space="preserve">[declaração de hipossuficiência, CTPS, extrato de benefício, declaração de imposto de renda etc.]</w:t>
      </w:r>
      <w:r>
        <w:rPr/>
        <w:t xml:space="preserve">.</w:t>
      </w:r>
    </w:p>
    <w:p>
      <w:pPr>
        <w:spacing w:after="60" w:line="360"/>
        <w:ind w:firstLine="850"/>
        <w:jc w:val="both"/>
      </w:pPr>
      <w:r>
        <w:rPr/>
        <w:t xml:space="preserve">Postula-se, assim, a concessão da gratuidade da justiça, nos termos dos arts. 98 e 99, § 3º, do CPC.</w:t>
      </w:r>
    </w:p>
    <w:p>
      <w:pPr>
        <w:keepNext/>
        <w:shd w:fill="123BB8" w:color="auto" w:val="clear"/>
        <w:tabs>
          <w:tab w:val="left" w:pos="1000"/>
        </w:tabs>
        <w:spacing w:after="240" w:before="360" w:line="360"/>
        <w:ind w:left="0"/>
      </w:pPr>
      <w:r>
        <w:rPr>
          <w:b/>
          <w:bCs/>
          <w:i/>
          <w:iCs/>
          <w:color w:val="FFFFFF"/>
        </w:rPr>
        <w:t xml:space="preserve">	Dos fatos.</w:t>
      </w:r>
    </w:p>
    <w:p>
      <w:pPr>
        <w:spacing w:after="60" w:line="360"/>
        <w:ind w:firstLine="850"/>
        <w:jc w:val="both"/>
      </w:pPr>
      <w:r>
        <w:rPr/>
        <w:t xml:space="preserve">A parte autora tem rendimento mensal de R$ </w:t>
      </w:r>
      <w:r>
        <w:rPr>
          <w:highlight w:val="yellow"/>
        </w:rPr>
        <w:t xml:space="preserve">[__]</w:t>
      </w:r>
      <w:r>
        <w:rPr/>
        <w:t xml:space="preserve">, proveniente de </w:t>
      </w:r>
      <w:r>
        <w:rPr>
          <w:highlight w:val="yellow"/>
        </w:rPr>
        <w:t xml:space="preserve">[descrever a fonte de renda]</w:t>
      </w:r>
      <w:r>
        <w:rPr/>
        <w:t xml:space="preserve">, conforme documentação anexa </w:t>
      </w:r>
      <w:r>
        <w:rPr>
          <w:highlight w:val="yellow"/>
        </w:rPr>
        <w:t xml:space="preserve">[holerite, CTPS, extrato de benefício, declaração de imposto de renda etc.]</w:t>
      </w:r>
      <w:r>
        <w:rPr/>
        <w:t xml:space="preserve">.</w:t>
      </w:r>
    </w:p>
    <w:p>
      <w:pPr>
        <w:spacing w:after="60" w:line="360"/>
        <w:ind w:firstLine="850"/>
        <w:jc w:val="both"/>
      </w:pPr>
      <w:r>
        <w:rPr/>
        <w:t xml:space="preserve">Ocorre que a parte autora atravessa grave dificuldade financeira, em razão de dívidas decorrentes de relações de consumo que comprometem seu mínimo existencial. São elas </w:t>
      </w:r>
      <w:r>
        <w:rPr>
          <w:highlight w:val="yellow"/>
        </w:rPr>
        <w:t xml:space="preserve">[empréstimos bancários, compras a prazo, serviços de prestação continuada etc.]</w:t>
      </w:r>
      <w:r>
        <w:rPr/>
        <w:t xml:space="preserve">, abaixo discriminadas:</w:t>
      </w:r>
    </w:p>
    <w:tbl>
      <w:tblPr>
        <w:tblW w:type="dxa" w:w="8950"/>
        <w:jc w:val="center"/>
      </w:tblPr>
      <w:tblGrid>
        <w:gridCol w:w="2237"/>
        <w:gridCol w:w="2237"/>
        <w:gridCol w:w="2237"/>
        <w:gridCol w:w="2237"/>
      </w:tblGrid>
      <w:tr>
        <w:trPr>
          <w:tblHeader/>
        </w:trPr>
        <w:tc>
          <w:tcPr>
            <w:tcW w:type="dxa" w:w="2237"/>
            <w:tcBorders>
              <w:top w:val="single" w:color="9AA0A6" w:sz="4"/>
              <w:left w:val="single" w:color="9AA0A6" w:sz="4"/>
              <w:bottom w:val="single" w:color="9AA0A6" w:sz="4"/>
              <w:right w:val="single" w:color="9AA0A6" w:sz="4"/>
            </w:tcBorders>
            <w:shd w:fill="123BB8" w:color="auto" w:val="clear"/>
            <w:tcMar>
              <w:top w:type="dxa" w:w="60"/>
              <w:left w:type="dxa" w:w="100"/>
              <w:bottom w:type="dxa" w:w="60"/>
              <w:right w:type="dxa" w:w="100"/>
            </w:tcMar>
            <w:vAlign w:val="center"/>
          </w:tcPr>
          <w:p>
            <w:pPr>
              <w:spacing w:after="0" w:line="240"/>
              <w:jc w:val="center"/>
            </w:pPr>
            <w:r>
              <w:rPr>
                <w:sz w:val="17"/>
                <w:szCs w:val="17"/>
                <w:b/>
                <w:bCs/>
                <w:color w:val="FFFFFF"/>
              </w:rPr>
              <w:t xml:space="preserve">Credor</w:t>
            </w:r>
          </w:p>
        </w:tc>
        <w:tc>
          <w:tcPr>
            <w:tcW w:type="dxa" w:w="2237"/>
            <w:tcBorders>
              <w:top w:val="single" w:color="9AA0A6" w:sz="4"/>
              <w:left w:val="single" w:color="9AA0A6" w:sz="4"/>
              <w:bottom w:val="single" w:color="9AA0A6" w:sz="4"/>
              <w:right w:val="single" w:color="9AA0A6" w:sz="4"/>
            </w:tcBorders>
            <w:shd w:fill="123BB8" w:color="auto" w:val="clear"/>
            <w:tcMar>
              <w:top w:type="dxa" w:w="60"/>
              <w:left w:type="dxa" w:w="100"/>
              <w:bottom w:type="dxa" w:w="60"/>
              <w:right w:type="dxa" w:w="100"/>
            </w:tcMar>
            <w:vAlign w:val="center"/>
          </w:tcPr>
          <w:p>
            <w:pPr>
              <w:spacing w:after="0" w:line="240"/>
              <w:jc w:val="center"/>
            </w:pPr>
            <w:r>
              <w:rPr>
                <w:sz w:val="17"/>
                <w:szCs w:val="17"/>
                <w:b/>
                <w:bCs/>
                <w:color w:val="FFFFFF"/>
              </w:rPr>
              <w:t xml:space="preserve">Origem (nº do contrato)</w:t>
            </w:r>
          </w:p>
        </w:tc>
        <w:tc>
          <w:tcPr>
            <w:tcW w:type="dxa" w:w="2237"/>
            <w:tcBorders>
              <w:top w:val="single" w:color="9AA0A6" w:sz="4"/>
              <w:left w:val="single" w:color="9AA0A6" w:sz="4"/>
              <w:bottom w:val="single" w:color="9AA0A6" w:sz="4"/>
              <w:right w:val="single" w:color="9AA0A6" w:sz="4"/>
            </w:tcBorders>
            <w:shd w:fill="123BB8" w:color="auto" w:val="clear"/>
            <w:tcMar>
              <w:top w:type="dxa" w:w="60"/>
              <w:left w:type="dxa" w:w="100"/>
              <w:bottom w:type="dxa" w:w="60"/>
              <w:right w:type="dxa" w:w="100"/>
            </w:tcMar>
            <w:vAlign w:val="center"/>
          </w:tcPr>
          <w:p>
            <w:pPr>
              <w:spacing w:after="0" w:line="240"/>
              <w:jc w:val="center"/>
            </w:pPr>
            <w:r>
              <w:rPr>
                <w:sz w:val="17"/>
                <w:szCs w:val="17"/>
                <w:b/>
                <w:bCs/>
                <w:color w:val="FFFFFF"/>
              </w:rPr>
              <w:t xml:space="preserve">Valor da dívida</w:t>
            </w:r>
          </w:p>
        </w:tc>
        <w:tc>
          <w:tcPr>
            <w:tcW w:type="dxa" w:w="2237"/>
            <w:tcBorders>
              <w:top w:val="single" w:color="9AA0A6" w:sz="4"/>
              <w:left w:val="single" w:color="9AA0A6" w:sz="4"/>
              <w:bottom w:val="single" w:color="9AA0A6" w:sz="4"/>
              <w:right w:val="single" w:color="9AA0A6" w:sz="4"/>
            </w:tcBorders>
            <w:shd w:fill="123BB8" w:color="auto" w:val="clear"/>
            <w:tcMar>
              <w:top w:type="dxa" w:w="60"/>
              <w:left w:type="dxa" w:w="100"/>
              <w:bottom w:type="dxa" w:w="60"/>
              <w:right w:type="dxa" w:w="100"/>
            </w:tcMar>
            <w:vAlign w:val="center"/>
          </w:tcPr>
          <w:p>
            <w:pPr>
              <w:spacing w:after="0" w:line="240"/>
              <w:jc w:val="center"/>
            </w:pPr>
            <w:r>
              <w:rPr>
                <w:sz w:val="17"/>
                <w:szCs w:val="17"/>
                <w:b/>
                <w:bCs/>
                <w:color w:val="FFFFFF"/>
              </w:rPr>
              <w:t xml:space="preserve">Valor da parcela</w:t>
            </w:r>
          </w:p>
        </w:tc>
      </w:tr>
      <w:tr>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left"/>
            </w:pPr>
            <w:r>
              <w:rPr>
                <w:sz w:val="17"/>
                <w:szCs w:val="17"/>
                <w:highlight w:val="yellow"/>
              </w:rPr>
              <w:t xml:space="preserve">[credor]</w:t>
            </w:r>
          </w:p>
        </w:tc>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r>
              <w:rPr>
                <w:sz w:val="17"/>
                <w:szCs w:val="17"/>
                <w:highlight w:val="yellow"/>
              </w:rPr>
              <w:t xml:space="preserve">[nº do contrato]</w:t>
            </w:r>
          </w:p>
        </w:tc>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r>
              <w:rPr>
                <w:sz w:val="17"/>
                <w:szCs w:val="17"/>
              </w:rPr>
              <w:t xml:space="preserve">R$ </w:t>
            </w:r>
            <w:r>
              <w:rPr>
                <w:sz w:val="17"/>
                <w:szCs w:val="17"/>
                <w:highlight w:val="yellow"/>
              </w:rPr>
              <w:t xml:space="preserve">[__]</w:t>
            </w:r>
          </w:p>
        </w:tc>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r>
              <w:rPr>
                <w:sz w:val="17"/>
                <w:szCs w:val="17"/>
              </w:rPr>
              <w:t xml:space="preserve">R$ </w:t>
            </w:r>
            <w:r>
              <w:rPr>
                <w:sz w:val="17"/>
                <w:szCs w:val="17"/>
                <w:highlight w:val="yellow"/>
              </w:rPr>
              <w:t xml:space="preserve">[__]</w:t>
            </w:r>
          </w:p>
        </w:tc>
      </w:tr>
      <w:tr>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left"/>
            </w:pPr>
            <w:r>
              <w:rPr>
                <w:sz w:val="17"/>
                <w:szCs w:val="17"/>
                <w:highlight w:val="yellow"/>
              </w:rPr>
              <w:t xml:space="preserve">[credor]</w:t>
            </w:r>
          </w:p>
        </w:tc>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r>
              <w:rPr>
                <w:sz w:val="17"/>
                <w:szCs w:val="17"/>
                <w:highlight w:val="yellow"/>
              </w:rPr>
              <w:t xml:space="preserve">[nº do contrato]</w:t>
            </w:r>
          </w:p>
        </w:tc>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r>
              <w:rPr>
                <w:sz w:val="17"/>
                <w:szCs w:val="17"/>
              </w:rPr>
              <w:t xml:space="preserve">R$ </w:t>
            </w:r>
            <w:r>
              <w:rPr>
                <w:sz w:val="17"/>
                <w:szCs w:val="17"/>
                <w:highlight w:val="yellow"/>
              </w:rPr>
              <w:t xml:space="preserve">[__]</w:t>
            </w:r>
          </w:p>
        </w:tc>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r>
              <w:rPr>
                <w:sz w:val="17"/>
                <w:szCs w:val="17"/>
              </w:rPr>
              <w:t xml:space="preserve">R$ </w:t>
            </w:r>
            <w:r>
              <w:rPr>
                <w:sz w:val="17"/>
                <w:szCs w:val="17"/>
                <w:highlight w:val="yellow"/>
              </w:rPr>
              <w:t xml:space="preserve">[__]</w:t>
            </w:r>
          </w:p>
        </w:tc>
      </w:tr>
      <w:tr>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left"/>
            </w:pPr>
            <w:r>
              <w:rPr>
                <w:sz w:val="17"/>
                <w:szCs w:val="17"/>
                <w:b/>
                <w:bCs/>
              </w:rPr>
              <w:t xml:space="preserve">Total</w:t>
            </w:r>
          </w:p>
        </w:tc>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p>
        </w:tc>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r>
              <w:rPr>
                <w:sz w:val="17"/>
                <w:szCs w:val="17"/>
                <w:b/>
                <w:bCs/>
              </w:rPr>
              <w:t xml:space="preserve">R$ </w:t>
            </w:r>
            <w:r>
              <w:rPr>
                <w:sz w:val="17"/>
                <w:szCs w:val="17"/>
                <w:b/>
                <w:bCs/>
                <w:highlight w:val="yellow"/>
              </w:rPr>
              <w:t xml:space="preserve">[__]</w:t>
            </w:r>
          </w:p>
        </w:tc>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r>
              <w:rPr>
                <w:sz w:val="17"/>
                <w:szCs w:val="17"/>
                <w:b/>
                <w:bCs/>
              </w:rPr>
              <w:t xml:space="preserve">R$ </w:t>
            </w:r>
            <w:r>
              <w:rPr>
                <w:sz w:val="17"/>
                <w:szCs w:val="17"/>
                <w:b/>
                <w:bCs/>
                <w:highlight w:val="yellow"/>
              </w:rPr>
              <w:t xml:space="preserve">[__]</w:t>
            </w:r>
          </w:p>
        </w:tc>
      </w:tr>
    </w:tbl>
    <w:p>
      <w:pPr>
        <w:spacing w:after="120"/>
      </w:pPr>
    </w:p>
    <w:p>
      <w:pPr>
        <w:spacing w:after="60" w:line="360"/>
        <w:ind w:firstLine="850"/>
        <w:jc w:val="both"/>
      </w:pPr>
      <w:r>
        <w:rPr/>
        <w:t xml:space="preserve">A dívida total da parte autora é de R$ </w:t>
      </w:r>
      <w:r>
        <w:rPr>
          <w:highlight w:val="yellow"/>
        </w:rPr>
        <w:t xml:space="preserve">[__]</w:t>
      </w:r>
      <w:r>
        <w:rPr/>
        <w:t xml:space="preserve">, com parcelas mensais que somam R$ </w:t>
      </w:r>
      <w:r>
        <w:rPr>
          <w:highlight w:val="yellow"/>
        </w:rPr>
        <w:t xml:space="preserve">[__]</w:t>
      </w:r>
      <w:r>
        <w:rPr/>
        <w:t xml:space="preserve">, o que corresponde a </w:t>
      </w:r>
      <w:r>
        <w:rPr>
          <w:highlight w:val="yellow"/>
        </w:rPr>
        <w:t xml:space="preserve">[__]</w:t>
      </w:r>
      <w:r>
        <w:rPr/>
        <w:t xml:space="preserve">% de sua renda </w:t>
      </w:r>
      <w:r>
        <w:rPr>
          <w:highlight w:val="yellow"/>
        </w:rPr>
        <w:t xml:space="preserve">[(parcelas ÷ renda) × 100]</w:t>
      </w:r>
      <w:r>
        <w:rPr/>
        <w:t xml:space="preserve">, percentual que impede sua subsistência digna e afeta o seu mínimo existencial.</w:t>
      </w:r>
    </w:p>
    <w:p>
      <w:pPr>
        <w:spacing w:after="60" w:line="360"/>
        <w:ind w:firstLine="850"/>
        <w:jc w:val="both"/>
      </w:pPr>
      <w:r>
        <w:rPr/>
        <w:t xml:space="preserve">Diante disso, não restou alternativa à parte autora senão buscar o Poder Judiciário para a tutela de seus direitos.</w:t>
      </w:r>
    </w:p>
    <w:p>
      <w:pPr>
        <w:keepNext/>
        <w:shd w:fill="123BB8" w:color="auto" w:val="clear"/>
        <w:tabs>
          <w:tab w:val="left" w:pos="1000"/>
        </w:tabs>
        <w:spacing w:after="240" w:before="360" w:line="360"/>
        <w:ind w:left="0"/>
      </w:pPr>
      <w:r>
        <w:rPr>
          <w:b/>
          <w:bCs/>
          <w:i/>
          <w:iCs/>
          <w:color w:val="FFFFFF"/>
        </w:rPr>
        <w:t xml:space="preserve">	Do direito.</w:t>
      </w:r>
    </w:p>
    <w:p>
      <w:pPr>
        <w:keepNext/>
        <w:tabs>
          <w:tab w:val="left" w:pos="700"/>
        </w:tabs>
        <w:spacing w:after="160" w:before="240" w:line="360"/>
        <w:ind w:left="700" w:hanging="400"/>
      </w:pPr>
      <w:r>
        <w:rPr>
          <w:b/>
          <w:bCs/>
          <w:i/>
          <w:iCs/>
        </w:rPr>
        <w:t xml:space="preserve">a.	Da incidência do Código de Defesa do Consumidor e da inversão do ônus da prova</w:t>
      </w:r>
    </w:p>
    <w:p>
      <w:pPr>
        <w:spacing w:after="60" w:line="360"/>
        <w:ind w:firstLine="850"/>
        <w:jc w:val="both"/>
      </w:pPr>
      <w:r>
        <w:rPr/>
        <w:t xml:space="preserve">A relação jurídica entre as partes é de consumo, figurando a parte autora como consumidora, com notória hipossuficiência frente à parte ré, nos termos dos arts. 2º e 3º do CDC e da Súmula 297 do STJ. Requer-se, desde já, que a controvérsia seja examinada sob a perspectiva desse diploma.</w:t>
      </w:r>
    </w:p>
    <w:p>
      <w:pPr>
        <w:spacing w:after="60" w:line="360"/>
        <w:ind w:firstLine="850"/>
        <w:jc w:val="both"/>
      </w:pPr>
      <w:r>
        <w:rPr/>
        <w:t xml:space="preserve">O art. 6º, VIII, do CDC qualifica como direito básico do consumidor a inversão do ônus da prova quando, a critério do juiz (ope judicis), for verossímil a alegação ou for ele hipossuficiente. Nesse sentido, o STJ já assentou que “a inversão do ônus da prova prevista no inciso VIII do artigo 6º da Lei nº 8.078/90 não é obrigatória, mas regra de julgamento, ope judicis, desde que o consumidor seja hipossuficiente ou seja verossímil sua alegação” (REsp 241.831/RJ, Rel. Min. Castro Filho, 3ª Turma, DJ 03/02/2003).</w:t>
      </w:r>
    </w:p>
    <w:p>
      <w:pPr>
        <w:spacing w:after="60" w:line="360"/>
        <w:ind w:firstLine="850"/>
        <w:jc w:val="both"/>
      </w:pPr>
      <w:r>
        <w:rPr/>
        <w:t xml:space="preserve">A verossimilhança se caracteriza pelo convencimento inicial do magistrado a partir da análise sumária dos argumentos e documentos; a hipossuficiência, pela vulnerabilidade econômica, técnica ou fática do consumidor perante o fornecedor.</w:t>
      </w:r>
    </w:p>
    <w:p>
      <w:pPr>
        <w:spacing w:after="60" w:line="360"/>
        <w:ind w:firstLine="850"/>
        <w:jc w:val="both"/>
      </w:pPr>
      <w:r>
        <w:rPr/>
        <w:t xml:space="preserve">No caso, os descontos correspondem a </w:t>
      </w:r>
      <w:r>
        <w:rPr>
          <w:highlight w:val="yellow"/>
        </w:rPr>
        <w:t xml:space="preserve">[__]</w:t>
      </w:r>
      <w:r>
        <w:rPr/>
        <w:t xml:space="preserve">% da renda da parte autora, o que afeta manifestamente seu mínimo existencial, conforme documentos anexos. É igualmente notória a hipossuficiência da parte autora, pessoa física, em comparação com a parte ré.</w:t>
      </w:r>
    </w:p>
    <w:p>
      <w:pPr>
        <w:spacing w:after="60" w:line="360"/>
        <w:ind w:firstLine="850"/>
        <w:jc w:val="both"/>
      </w:pPr>
      <w:r>
        <w:rPr/>
        <w:t xml:space="preserve">Assim, bastando a presença de um dos requisitos e estando ambos presentes, requer-se a inversão do ônus da prova (art. 6º, VIII, do CDC).</w:t>
      </w:r>
    </w:p>
    <w:p>
      <w:pPr>
        <w:keepNext/>
        <w:tabs>
          <w:tab w:val="left" w:pos="700"/>
        </w:tabs>
        <w:spacing w:after="160" w:before="240" w:line="360"/>
        <w:ind w:left="700" w:hanging="400"/>
      </w:pPr>
      <w:r>
        <w:rPr>
          <w:b/>
          <w:bCs/>
          <w:i/>
          <w:iCs/>
        </w:rPr>
        <w:t xml:space="preserve">b.	Do superendividamento</w:t>
      </w:r>
    </w:p>
    <w:p>
      <w:pPr>
        <w:spacing w:after="60" w:line="360"/>
        <w:ind w:firstLine="850"/>
        <w:jc w:val="both"/>
      </w:pPr>
      <w:r>
        <w:rPr/>
        <w:t xml:space="preserve">A Lei nº 14.181, de 1º de julho de 2021 — conhecida como “Lei do Superendividamento” —, disciplina as situações em que o consumidor, endividado em excesso, não consegue honrar suas obrigações de maneira sustentável. Seu objetivo é prevenir práticas abusivas na concessão de crédito e oferecer mecanismos legais para que o consumidor reestruture suas dívidas, como a renegociação global, a redução de encargos abusivos, a revisão de contratos desproporcionais e a promoção de educação financeira.</w:t>
      </w:r>
    </w:p>
    <w:p>
      <w:pPr>
        <w:spacing w:after="60" w:line="360"/>
        <w:ind w:firstLine="850"/>
        <w:jc w:val="both"/>
      </w:pPr>
      <w:r>
        <w:rPr/>
        <w:t xml:space="preserve">Nos termos do art. 54-A, § 1º, do CDC, o superendividamento caracteriza-se pela “impossibilidade manifesta de o consumidor pessoa natural, de boa-fé, pagar a totalidade de suas dívidas de consumo, exigíveis e vincendas, sem comprometer seu mínimo existencial, nos termos da regulamentação”.</w:t>
      </w:r>
    </w:p>
    <w:p>
      <w:pPr>
        <w:spacing w:after="60" w:line="360"/>
        <w:ind w:firstLine="850"/>
        <w:jc w:val="both"/>
      </w:pPr>
      <w:r>
        <w:rPr/>
        <w:t xml:space="preserve">No caso, a parte autora contraiu as dívidas de boa-fé, sem o intuito de lesar os credores e sem prever que alcançariam montante que impossibilitaria seu pagamento. Como exposto, a dívida total é de R$ </w:t>
      </w:r>
      <w:r>
        <w:rPr>
          <w:highlight w:val="yellow"/>
        </w:rPr>
        <w:t xml:space="preserve">[__]</w:t>
      </w:r>
      <w:r>
        <w:rPr/>
        <w:t xml:space="preserve">, com parcelas mensais de R$ </w:t>
      </w:r>
      <w:r>
        <w:rPr>
          <w:highlight w:val="yellow"/>
        </w:rPr>
        <w:t xml:space="preserve">[__]</w:t>
      </w:r>
      <w:r>
        <w:rPr/>
        <w:t xml:space="preserve">, que comprometem </w:t>
      </w:r>
      <w:r>
        <w:rPr>
          <w:highlight w:val="yellow"/>
        </w:rPr>
        <w:t xml:space="preserve">[__]</w:t>
      </w:r>
      <w:r>
        <w:rPr/>
        <w:t xml:space="preserve">% de sua renda.</w:t>
      </w:r>
    </w:p>
    <w:p>
      <w:pPr>
        <w:spacing w:after="60" w:line="360"/>
        <w:ind w:firstLine="850"/>
        <w:jc w:val="both"/>
      </w:pPr>
      <w:r>
        <w:rPr/>
        <w:t xml:space="preserve">Quanto ao mínimo existencial, o valor fixado pelo Decreto nº 11.150/2022 (com a redação do Decreto nº 11.567/2023) não deve ser tomado como parâmetro absoluto, sob pena de esvaziar a finalidade protetiva da lei — tema, inclusive, questionado no Supremo Tribunal Federal (ADPFs 1005 e 1006). A jurisprudência tem adotado, como parâmetro razoável de preservação da dignidade do devedor, a limitação dos descontos a 30% (trinta por cento) de seus rendimentos:</w:t>
      </w:r>
    </w:p>
    <w:p>
      <w:pPr>
        <w:pBdr>
          <w:top w:val="single" w:color="9AA0A6" w:sz="4" w:space="6"/>
          <w:bottom w:val="single" w:color="9AA0A6" w:sz="4" w:space="6"/>
        </w:pBdr>
        <w:spacing w:after="200" w:before="160" w:line="240"/>
        <w:ind w:left="2270" w:right="570"/>
        <w:jc w:val="both"/>
      </w:pPr>
      <w:r>
        <w:rPr>
          <w:i/>
          <w:iCs/>
          <w:sz w:val="18"/>
          <w:szCs w:val="18"/>
        </w:rPr>
        <w:t xml:space="preserve">“AGRAVO DE INSTRUMENTO. DIREITO DO CONSUMIDOR. AÇÃO DE OBRIGAÇÃO DE FAZER C/C INDENIZATÓRIA. ANTECIPAÇÃO DA TUTELA DE URGÊNCIA. CONCESSÃO. DESCONTOS DE EMPRÉSTIMOS SOBRE PROVENTOS DE MILITAR. LIMITAÇÃO A 30% DOS GANHOS DO DEVEDOR. SÚMULAS Nº 200 E 295 DESTA E. CORTE. (...) OBRIGAÇÃO CONTRATUAL QUE NÃO AFASTA O PRINCÍPIO DA DIGNIDADE DA PESSOA HUMANA. (...) Conjunto probatório que demonstra a realização de descontos de empréstimos bancários em percentual excessivo, comprometendo a própria subsistência do demandante, sendo que tais descontos em folha de pagamento não devem ultrapassar o percentual de 30% dos rendimentos recebidos. (...) Obrigação contratual que não pode se sobrepor ao princípio da dignidade da pessoa humana. Ainda que a parte autora tenha contribuído para a situação de superendividamento, há de ser considerada também a responsabilidade dos bancos e financeiras, que concedem crédito indiscriminadamente, sem observar a real capacidade financeira do consumidor. Presença dos requisitos do artigo 300 do Código de Processo Civil. Incensurável a decisão recorrida. Desprovimento do recurso.” (TJ-RJ – AI: 0038407-70.2023.8.19.0000, Rel. Des(a). Marília de Castro Neves Vieira, j. 02/08/2023, p. 09/08/2023)</w:t>
      </w:r>
    </w:p>
    <w:p>
      <w:pPr>
        <w:spacing w:after="60" w:line="360"/>
        <w:ind w:firstLine="850"/>
        <w:jc w:val="both"/>
      </w:pPr>
      <w:r>
        <w:rPr/>
        <w:t xml:space="preserve">No mesmo sentido, o Tribunal de Justiça do Estado do Rio de Janeiro editou os seguintes enunciados sumulares:</w:t>
      </w:r>
    </w:p>
    <w:p>
      <w:pPr>
        <w:pBdr>
          <w:top w:val="single" w:color="9AA0A6" w:sz="4" w:space="6"/>
          <w:bottom w:val="single" w:color="9AA0A6" w:sz="4" w:space="6"/>
        </w:pBdr>
        <w:spacing w:after="200" w:before="160" w:line="240"/>
        <w:ind w:left="2270" w:right="570"/>
        <w:jc w:val="both"/>
      </w:pPr>
      <w:r>
        <w:rPr>
          <w:i/>
          <w:iCs/>
          <w:sz w:val="18"/>
          <w:szCs w:val="18"/>
        </w:rPr>
        <w:t xml:space="preserve">Súmula nº 200 do TJRJ: “A retenção de valores em conta corrente oriunda de empréstimo bancário ou de utilização de cartão de crédito não pode ultrapassar o percentual de 30% do salário do correntista.”</w:t>
      </w:r>
    </w:p>
    <w:p>
      <w:pPr>
        <w:pBdr>
          <w:top w:val="single" w:color="9AA0A6" w:sz="4" w:space="6"/>
          <w:bottom w:val="single" w:color="9AA0A6" w:sz="4" w:space="6"/>
        </w:pBdr>
        <w:spacing w:after="200" w:before="160" w:line="240"/>
        <w:ind w:left="2270" w:right="570"/>
        <w:jc w:val="both"/>
      </w:pPr>
      <w:r>
        <w:rPr>
          <w:i/>
          <w:iCs/>
          <w:sz w:val="18"/>
          <w:szCs w:val="18"/>
        </w:rPr>
        <w:t xml:space="preserve">Súmula nº 295 do TJRJ: “Na hipótese de superendividamento decorrente de empréstimos obtidos de instituições financeiras diversas, a totalidade dos descontos incidentes em conta-corrente não poderá ser superior a 30% do salário do devedor.”</w:t>
      </w:r>
    </w:p>
    <w:p>
      <w:pPr>
        <w:spacing w:after="60" w:line="360"/>
        <w:ind w:firstLine="850"/>
        <w:jc w:val="both"/>
      </w:pPr>
      <w:r>
        <w:rPr/>
        <w:t xml:space="preserve">Registre-se que não se aplica ao caso o Tema 1.085 do STJ (REsp 1.863.973/SP), pois não se pretende a aplicação analógica dos limites legais de margem consignável a descontos em conta corrente, mas a repactuação das dívidas do consumidor superendividado, com preservação do mínimo existencial, nos termos da Lei nº 14.181/2021.</w:t>
      </w:r>
    </w:p>
    <w:p>
      <w:pPr>
        <w:spacing w:after="60" w:line="360"/>
        <w:ind w:firstLine="850"/>
        <w:jc w:val="both"/>
      </w:pPr>
      <w:r>
        <w:rPr/>
        <w:t xml:space="preserve">Assim, ainda que a parte autora possa ter contribuído para a situação em que se encontra, inegável sua condição de consumidora superendividada, ante a impossibilidade manifesta de pagar a totalidade de suas dívidas de consumo, exigíveis e vincendas, sem comprometer seu mínimo existencial.</w:t>
      </w:r>
    </w:p>
    <w:p>
      <w:pPr>
        <w:keepNext/>
        <w:tabs>
          <w:tab w:val="left" w:pos="700"/>
        </w:tabs>
        <w:spacing w:after="160" w:before="240" w:line="360"/>
        <w:ind w:left="700" w:hanging="400"/>
      </w:pPr>
      <w:r>
        <w:rPr>
          <w:b/>
          <w:bCs/>
          <w:i/>
          <w:iCs/>
        </w:rPr>
        <w:t xml:space="preserve">c.	Do procedimento de repactuação das dívidas</w:t>
      </w:r>
    </w:p>
    <w:p>
      <w:pPr>
        <w:spacing w:after="60" w:line="360"/>
        <w:ind w:firstLine="850"/>
        <w:jc w:val="both"/>
      </w:pPr>
      <w:r>
        <w:rPr/>
        <w:t xml:space="preserve">Demonstrada a situação de superendividamento, a Lei nº 14.181/2021 também acrescentou ao CDC o procedimento para que o consumidor possa repactuar suas dívidas, que se desenvolve em duas fases (arts. 104-A e seguintes).</w:t>
      </w:r>
    </w:p>
    <w:p>
      <w:pPr>
        <w:spacing w:after="60" w:line="360"/>
        <w:ind w:firstLine="850"/>
        <w:jc w:val="both"/>
      </w:pPr>
      <w:r>
        <w:rPr/>
        <w:t xml:space="preserve">Na primeira fase (jurisdição voluntária), cabe ao julgador realizar simples juízo de probabilidade acerca das alegações de que se trata de consumidor, de que está superendividado (art. 54-A, § 1º, do CDC) e de que elaborou proposta de pagamento parcelado de suas dívidas, elementos suficientes para a designação de audiência de conciliação.</w:t>
      </w:r>
    </w:p>
    <w:p>
      <w:pPr>
        <w:spacing w:after="60" w:line="360"/>
        <w:ind w:firstLine="850"/>
        <w:jc w:val="both"/>
      </w:pPr>
      <w:r>
        <w:rPr/>
        <w:t xml:space="preserve">Na segunda fase, frustrada a conciliação, o procedimento pode ser convertido em jurisdição contenciosa, ocasião em que o pedido de sujeição dos credores a plano de pagamento compulsório pode vir acompanhado do pedido de revisão de cláusulas abusivas. Nesse sentido:</w:t>
      </w:r>
    </w:p>
    <w:p>
      <w:pPr>
        <w:pBdr>
          <w:top w:val="single" w:color="9AA0A6" w:sz="4" w:space="6"/>
          <w:bottom w:val="single" w:color="9AA0A6" w:sz="4" w:space="6"/>
        </w:pBdr>
        <w:spacing w:after="200" w:before="160" w:line="240"/>
        <w:ind w:left="2270" w:right="570"/>
        <w:jc w:val="both"/>
      </w:pPr>
      <w:r>
        <w:rPr>
          <w:i/>
          <w:iCs/>
          <w:sz w:val="18"/>
          <w:szCs w:val="18"/>
        </w:rPr>
        <w:t xml:space="preserve">“AÇÃO DE REPACTUAÇÃO DE DÍVIDAS. SUPERENDIVIDAMENTO. LEI Nº 14.181/2021. SENTENÇA DE IMPROCEDÊNCIA LIMINAR POR AUSÊNCIA DE INTERESSE PROCESSUAL. PREENCHIMENTO DOS REQUISITOS DO ART. 104-A DO CDC. (...) SENTENÇA CASSADA. 1. Para o consumidor dar início ao processo de superendividamento, previsto no artigo 104-A do CDC, é suficiente a indicação, pelo consumidor, da impossibilidade manifesta de pagar a totalidade de suas dívidas de consumo, exigíveis e vincendas, sem comprometer seu mínimo existencial (art. 54-A, § 1º do CDC), alegação que deve vir acompanhada de documentos que lhe confiram substância e que está sujeita a juízo de probabilidade pelo julgador. (...) 3. O processo por superendividamento regulado pelos arts. 104-A e ss. do CDC é de jurisdição voluntária, passível de conversão para jurisdição contenciosa na eventualidade de ser infrutífera a audiência de conciliação. 4. Na primeira fase do procedimento (jurisdição voluntária) cabe ao julgador realizar simples juízo de probabilidade acerca das alegações do autor de que se trata de consumidor, está superendividado (art. 54-A, § 1º do CDC) e elaborou proposta de pagamento parcelado de suas dívidas, elementos suficientes para a designação de audiência de conciliação. 5. Infrutífera a conciliação, pode haver a conversão do procedimento em jurisdição contenciosa, ocasião em que o pedido de sujeição dos credores a plano de pagamento compulsório pode vir acompanhado do pedido para revisão de cláusulas abusivas (...). Apelação Cível provida.” (TJPR – 16ª C. Cível – 0017146-11.2021.8.16.0030 – Foz do Iguaçu – Rel. Des. Paulo Cezar Bellio – j. 06/06/2022, p. 13/06/2022)</w:t>
      </w:r>
    </w:p>
    <w:p>
      <w:pPr>
        <w:spacing w:after="60" w:line="360"/>
        <w:ind w:firstLine="850"/>
        <w:jc w:val="both"/>
      </w:pPr>
      <w:r>
        <w:rPr/>
        <w:t xml:space="preserve">Assim, a parte autora apresenta: a) proposta de pagamento parcelado das dívidas (art. 104-A do CDC)¹; e b) pedido de revisão das cláusulas abusivas e de sujeição dos credores a plano de pagamento compulsório (art. 104-B do CDC)².</w:t>
      </w:r>
    </w:p>
    <w:p>
      <w:pPr>
        <w:keepNext/>
        <w:tabs>
          <w:tab w:val="left" w:pos="700"/>
        </w:tabs>
        <w:spacing w:after="160" w:before="240" w:line="360"/>
        <w:ind w:left="700" w:hanging="400"/>
      </w:pPr>
      <w:r>
        <w:rPr>
          <w:b/>
          <w:bCs/>
          <w:i/>
          <w:iCs/>
        </w:rPr>
        <w:t xml:space="preserve">d.	Da proposta de pagamento parcelado das dívidas</w:t>
      </w:r>
    </w:p>
    <w:p>
      <w:pPr>
        <w:spacing w:after="60" w:line="360"/>
        <w:ind w:firstLine="850"/>
        <w:jc w:val="both"/>
      </w:pPr>
      <w:r>
        <w:rPr>
          <w:highlight w:val="yellow"/>
        </w:rPr>
        <w:t xml:space="preserve">[Apresentar o plano de pagamento, com prazo máximo de 5 (cinco) anos, na forma do art. 104-A do CDC. Exemplo: “A parte autora propõe-se a pagar aos credores o valor devido em 60 (sessenta) parcelas mensais de R$ __, totalizando R$ __, com vencimento da primeira no quinto dia útil do mês subsequente à homologação e das demais em igual dia dos meses seguintes, rateadas proporcionalmente ao saldo devedor de cada credor.”]</w:t>
      </w:r>
    </w:p>
    <w:p>
      <w:pPr>
        <w:keepNext/>
        <w:tabs>
          <w:tab w:val="left" w:pos="700"/>
        </w:tabs>
        <w:spacing w:after="160" w:before="240" w:line="360"/>
        <w:ind w:left="700" w:hanging="400"/>
      </w:pPr>
      <w:r>
        <w:rPr>
          <w:b/>
          <w:bCs/>
          <w:i/>
          <w:iCs/>
        </w:rPr>
        <w:t xml:space="preserve">e.	Da revisão das cláusulas abusivas e da sujeição dos credores a plano de pagamento compulsório</w:t>
      </w:r>
    </w:p>
    <w:p>
      <w:pPr>
        <w:spacing w:after="60" w:line="360"/>
        <w:ind w:firstLine="850"/>
        <w:jc w:val="both"/>
      </w:pPr>
      <w:r>
        <w:rPr>
          <w:highlight w:val="yellow"/>
        </w:rPr>
        <w:t xml:space="preserve">[Desenvolver a necessidade de revisão do contrato no caso concreto. Os julgados abaixo, sobre limitação dos juros remuneratórios à taxa média de mercado, são exemplos — verificar sua adequação ao caso.]</w:t>
      </w:r>
    </w:p>
    <w:p>
      <w:pPr>
        <w:spacing w:after="60" w:line="360"/>
        <w:ind w:firstLine="850"/>
        <w:jc w:val="both"/>
      </w:pPr>
      <w:r>
        <w:rPr/>
        <w:t xml:space="preserve">É admitida a revisão das taxas de juros remuneratórios em situações excepcionais, desde que caracterizada a relação de consumo e que a abusividade, capaz de colocar o consumidor em desvantagem exagerada (art. 51, § 1º, do CDC), fique cabalmente demonstrada, ante as peculiaridades do caso concreto (STJ, REsp 1.061.530/RS, repetitivo; AgRg nos EDcl no Ag 1.322.378/RN, Rel. Min. Raul Araújo, 4ª Turma, DJe 01/08/2011).</w:t>
      </w:r>
    </w:p>
    <w:p>
      <w:pPr>
        <w:pBdr>
          <w:top w:val="single" w:color="9AA0A6" w:sz="4" w:space="6"/>
          <w:bottom w:val="single" w:color="9AA0A6" w:sz="4" w:space="6"/>
        </w:pBdr>
        <w:spacing w:after="200" w:before="160" w:line="240"/>
        <w:ind w:left="2270" w:right="570"/>
        <w:jc w:val="both"/>
      </w:pPr>
      <w:r>
        <w:rPr>
          <w:i/>
          <w:iCs/>
          <w:sz w:val="18"/>
          <w:szCs w:val="18"/>
        </w:rPr>
        <w:t xml:space="preserve">“(...) 2. No julgamento do Recurso Especial n. 1.061.530/RS, submetido à sistemática dos recursos repetitivos, ficou consolidada a seguinte orientação: ‘É admitida a revisão das taxas de juros remuneratórios em situações excepcionais, desde que caracterizada a relação de consumo e que a abusividade (capaz de colocar o consumidor em desvantagem exagerada – art. 51, § 1º, do CDC) fique cabalmente demonstrada, ante às peculiaridades do julgamento em concreto’. As taxas de juros remuneratórios podem ser fixadas à taxa média de mercado quando verificada, pelo Tribunal de origem, a abusividade do percentual contratado. (...)” (STJ, EDcl no REsp 1.254.407/SC, Rel. Min. Marco Buzzi, 4ª Turma, j. 27/08/2013)</w:t>
      </w:r>
    </w:p>
    <w:p>
      <w:pPr>
        <w:pBdr>
          <w:top w:val="single" w:color="9AA0A6" w:sz="4" w:space="6"/>
          <w:bottom w:val="single" w:color="9AA0A6" w:sz="4" w:space="6"/>
        </w:pBdr>
        <w:spacing w:after="200" w:before="160" w:line="240"/>
        <w:ind w:left="2270" w:right="570"/>
        <w:jc w:val="both"/>
      </w:pPr>
      <w:r>
        <w:rPr>
          <w:i/>
          <w:iCs/>
          <w:sz w:val="18"/>
          <w:szCs w:val="18"/>
        </w:rPr>
        <w:t xml:space="preserve">“Apelação cível. Ação monitória. Contrato de conta corrente – Giro fácil. (...) 2. Limitação dos juros remuneratórios. Sentença mantida no ponto. Ausência de apresentação das taxas de juros no instrumento contratual. Limitação dos juros à taxa média de mercado. Orientação do Superior Tribunal de Justiça. (...) Recurso conhecido e não provido.” (TJ-PR – APL: 0078038-07.2016.8.16.0014, Rel. Des. Francisco Eduardo Gonzaga de Oliveira, 13ª Câmara Cível, j. 21/08/2019, p. 23/08/2019)</w:t>
      </w:r>
    </w:p>
    <w:p>
      <w:pPr>
        <w:spacing w:after="60" w:line="360"/>
        <w:ind w:firstLine="850"/>
        <w:jc w:val="both"/>
      </w:pPr>
      <w:r>
        <w:rPr/>
        <w:t xml:space="preserve">Somado a isso, a situação vivenciada pela parte autora decorreu da prática de crédito irresponsável por parte dos credores. Quando ofertados </w:t>
      </w:r>
      <w:r>
        <w:rPr>
          <w:highlight w:val="yellow"/>
        </w:rPr>
        <w:t xml:space="preserve">[empréstimos bancários, compras a prazo, serviços de prestação continuada etc.]</w:t>
      </w:r>
      <w:r>
        <w:rPr/>
        <w:t xml:space="preserve">, as parcelas mensais excederam o limite de 30% (trinta por cento) dos rendimentos da parte autora, que, além de pagar os credores, precisava manter seu mínimo existencial.</w:t>
      </w:r>
    </w:p>
    <w:p>
      <w:pPr>
        <w:spacing w:after="60" w:line="360"/>
        <w:ind w:firstLine="850"/>
        <w:jc w:val="both"/>
      </w:pPr>
      <w:r>
        <w:rPr/>
        <w:t xml:space="preserve">Nessas condições, a conduta dos credores violou os arts. 6º, XI, e 54-D, II, do CDC:</w:t>
      </w:r>
    </w:p>
    <w:p>
      <w:pPr>
        <w:pBdr>
          <w:top w:val="single" w:color="9AA0A6" w:sz="4" w:space="6"/>
          <w:bottom w:val="single" w:color="9AA0A6" w:sz="4" w:space="6"/>
        </w:pBdr>
        <w:spacing w:after="200" w:before="160" w:line="240"/>
        <w:ind w:left="2270" w:right="570"/>
        <w:jc w:val="both"/>
      </w:pPr>
      <w:r>
        <w:rPr>
          <w:i/>
          <w:iCs/>
          <w:sz w:val="18"/>
          <w:szCs w:val="18"/>
        </w:rPr>
        <w:t xml:space="preserve">“Art. 6º (...) XI – a garantia de práticas de crédito responsável, de educação financeira e de prevenção e tratamento de situações de superendividamento, preservado o mínimo existencial, nos termos da regulamentação, por meio da revisão e da repactuação da dívida, entre outras medidas;”</w:t>
      </w:r>
    </w:p>
    <w:p>
      <w:pPr>
        <w:pBdr>
          <w:top w:val="single" w:color="9AA0A6" w:sz="4" w:space="6"/>
          <w:bottom w:val="single" w:color="9AA0A6" w:sz="4" w:space="6"/>
        </w:pBdr>
        <w:spacing w:after="200" w:before="160" w:line="240"/>
        <w:ind w:left="2270" w:right="570"/>
        <w:jc w:val="both"/>
      </w:pPr>
      <w:r>
        <w:rPr>
          <w:i/>
          <w:iCs/>
          <w:sz w:val="18"/>
          <w:szCs w:val="18"/>
        </w:rPr>
        <w:t xml:space="preserve">“Art. 54-D. Na oferta de crédito, previamente à contratação, o fornecedor ou o intermediário deverá, entre outras condutas: (...) II – avaliar, de forma responsável, as condições de crédito do consumidor, mediante análise das informações disponíveis em bancos de dados de proteção ao crédito, observado o disposto neste Código e na legislação sobre proteção de dados;”</w:t>
      </w:r>
    </w:p>
    <w:p>
      <w:pPr>
        <w:spacing w:after="60" w:line="360"/>
        <w:ind w:firstLine="850"/>
        <w:jc w:val="both"/>
      </w:pPr>
      <w:r>
        <w:rPr/>
        <w:t xml:space="preserve">O descumprimento desses deveres autoriza, nos termos do parágrafo único do art. 54-D do CDC, a redução dos juros, dos encargos ou de qualquer acréscimo ao principal e a dilação do prazo de pagamento previsto no contrato original, conforme a gravidade da conduta do fornecedor e as possibilidades financeiras do consumidor. Nesse sentido, o E. Tribunal de Justiça do Distrito Federal e dos Territórios:</w:t>
      </w:r>
    </w:p>
    <w:p>
      <w:pPr>
        <w:pBdr>
          <w:top w:val="single" w:color="9AA0A6" w:sz="4" w:space="6"/>
          <w:bottom w:val="single" w:color="9AA0A6" w:sz="4" w:space="6"/>
        </w:pBdr>
        <w:spacing w:after="200" w:before="160" w:line="240"/>
        <w:ind w:left="2270" w:right="570"/>
        <w:jc w:val="both"/>
      </w:pPr>
      <w:r>
        <w:rPr>
          <w:i/>
          <w:iCs/>
          <w:sz w:val="18"/>
          <w:szCs w:val="18"/>
        </w:rPr>
        <w:t xml:space="preserve">“</w:t>
      </w:r>
      <w:r>
        <w:rPr>
          <w:i/>
          <w:iCs/>
          <w:sz w:val="18"/>
          <w:szCs w:val="18"/>
          <w:highlight w:val="yellow"/>
        </w:rPr>
        <w:t xml:space="preserve">[...]</w:t>
      </w:r>
      <w:r>
        <w:rPr>
          <w:i/>
          <w:iCs/>
          <w:sz w:val="18"/>
          <w:szCs w:val="18"/>
        </w:rPr>
        <w:t xml:space="preserve"> O crédito responsável é a concessão de empréstimo em contexto de informações claras, completas e adequadas sobre todas as características e riscos do contrato. A noção de crédito responsável decorre do princípio da boa-fé objetiva e de seus consectários relacionados à lealdade e transparência, ao dever de informar, ao dever de cuidado e, até mesmo, ao dever de aconselhamento ao consumidor. 4. Constitui dever do agente financeiro, na fase pré-contratual, analisar a situação econômica do consumidor, seu perfil, suas necessidades e, dentre as inúmeras modalidades de crédito disponíveis, sugerir, se for o caso, a contratação do empréstimo que está mais adequado ao momento, aos propósitos, necessidades e possibilidades orçamentárias do consumidor. 5. No presente caso, constata-se que a soma dos descontos dos empréstimos consignados em folha de pagamento e aqueles realizados diretamente em conta corrente comprometem integralmente os proventos de aposentadoria da autora. (...) com relação aos descontos efetivados diretamente em conta corrente, a sua limitação a 30% (trinta por cento) do valor líquido da aposentadoria é medida que se impõe para preservação do mínimo existencial. 6. Recurso conhecido e parcialmente provido.” (TJDFT; AGI 0729492-92.2021.8.07.0000; Acórdão 1386966; 6ª Turma Cível; Rel. Des. Leonardo Roscoe Bessa; j. 17/11/2021; p. 30/11/2021)</w:t>
      </w:r>
    </w:p>
    <w:p>
      <w:pPr>
        <w:spacing w:after="60" w:line="360"/>
        <w:ind w:firstLine="850"/>
        <w:jc w:val="both"/>
      </w:pPr>
      <w:r>
        <w:rPr/>
        <w:t xml:space="preserve">Assim, requer-se a revisão das cláusulas contratuais abusivas e a sujeição dos credores a plano de pagamento compulsório com parcelas limitadas a 30% (trinta por cento) da remuneração líquida da parte autora, nos termos do art. 104-B, caput, do CDC.</w:t>
      </w:r>
    </w:p>
    <w:p>
      <w:pPr>
        <w:keepNext/>
        <w:shd w:fill="123BB8" w:color="auto" w:val="clear"/>
        <w:tabs>
          <w:tab w:val="left" w:pos="1000"/>
        </w:tabs>
        <w:spacing w:after="240" w:before="360" w:line="360"/>
        <w:ind w:left="0"/>
      </w:pPr>
      <w:r>
        <w:rPr>
          <w:b/>
          <w:bCs/>
          <w:i/>
          <w:iCs/>
          <w:color w:val="FFFFFF"/>
        </w:rPr>
        <w:t xml:space="preserve">	Da tutela de urgência.</w:t>
      </w:r>
    </w:p>
    <w:p>
      <w:pPr>
        <w:spacing w:after="60" w:line="360"/>
        <w:ind w:firstLine="850"/>
        <w:jc w:val="both"/>
      </w:pPr>
      <w:r>
        <w:rPr/>
        <w:t xml:space="preserve">A tutela provisória de urgência (art. 300 do CPC) será concedida quando houver elementos que evidenciem (i) a probabilidade do direito e (ii) o perigo de dano ou o risco ao resultado útil do processo. Ambos os requisitos estão presentes.</w:t>
      </w:r>
    </w:p>
    <w:p>
      <w:pPr>
        <w:spacing w:after="60" w:line="360"/>
        <w:ind w:firstLine="850"/>
        <w:jc w:val="both"/>
      </w:pPr>
      <w:r>
        <w:rPr/>
        <w:t xml:space="preserve">A probabilidade do direito decorre dos documentos juntados, que comprovam parcelas mensais de R$ </w:t>
      </w:r>
      <w:r>
        <w:rPr>
          <w:highlight w:val="yellow"/>
        </w:rPr>
        <w:t xml:space="preserve">[__]</w:t>
      </w:r>
      <w:r>
        <w:rPr/>
        <w:t xml:space="preserve">, equivalentes a </w:t>
      </w:r>
      <w:r>
        <w:rPr>
          <w:highlight w:val="yellow"/>
        </w:rPr>
        <w:t xml:space="preserve">[__]</w:t>
      </w:r>
      <w:r>
        <w:rPr/>
        <w:t xml:space="preserve">% da renda da parte autora, comprometendo seu mínimo existencial.</w:t>
      </w:r>
    </w:p>
    <w:p>
      <w:pPr>
        <w:spacing w:after="60" w:line="360"/>
        <w:ind w:firstLine="850"/>
        <w:jc w:val="both"/>
      </w:pPr>
      <w:r>
        <w:rPr/>
        <w:t xml:space="preserve">O perigo de dano reside no fato de que, a cada nova cobrança mensal, a parte autora tem sua dignidade e seu mínimo existencial suprimidos, com dificuldade de custear despesas básicas como moradia e alimentação.</w:t>
      </w:r>
    </w:p>
    <w:p>
      <w:pPr>
        <w:spacing w:after="60" w:line="360"/>
        <w:ind w:firstLine="850"/>
        <w:jc w:val="both"/>
      </w:pPr>
      <w:r>
        <w:rPr/>
        <w:t xml:space="preserve">A medida é reversível (art. 300, § 3º, do CPC), e a parte autora declara que se absterá de condutas que agravem sua situação de superendividamento (art. 104-A, § 4º, IV, do CDC).</w:t>
      </w:r>
    </w:p>
    <w:p>
      <w:pPr>
        <w:spacing w:after="60" w:line="360"/>
        <w:ind w:firstLine="850"/>
        <w:jc w:val="both"/>
      </w:pPr>
      <w:r>
        <w:rPr/>
        <w:t xml:space="preserve">Impõe-se, portanto, a limitação liminar dos valores cobrados mensalmente da parte autora a 30% (trinta por cento) de sua renda líquida, até o julgamento da presente ação.</w:t>
      </w:r>
    </w:p>
    <w:p>
      <w:pPr>
        <w:keepNext/>
        <w:shd w:fill="123BB8" w:color="auto" w:val="clear"/>
        <w:tabs>
          <w:tab w:val="left" w:pos="1000"/>
        </w:tabs>
        <w:spacing w:after="240" w:before="360" w:line="360"/>
        <w:ind w:left="0"/>
      </w:pPr>
      <w:r>
        <w:rPr>
          <w:b/>
          <w:bCs/>
          <w:i/>
          <w:iCs/>
          <w:color w:val="FFFFFF"/>
        </w:rPr>
        <w:t xml:space="preserve">	Dos pedidos.</w:t>
      </w:r>
    </w:p>
    <w:p>
      <w:pPr>
        <w:spacing w:after="60" w:line="360"/>
        <w:ind w:firstLine="850"/>
        <w:jc w:val="both"/>
      </w:pPr>
      <w:r>
        <w:rPr/>
        <w:t xml:space="preserve">Em face do exposto, requer-se:</w:t>
      </w:r>
    </w:p>
    <w:p>
      <w:pPr>
        <w:spacing w:after="60" w:line="360"/>
        <w:ind w:firstLine="850"/>
        <w:jc w:val="both"/>
      </w:pPr>
      <w:r>
        <w:rPr/>
        <w:t xml:space="preserve">a) a concessão dos benefícios da gratuidade da justiça, nos termos do art. 5º, LXXIV, da CF e dos arts. 98 e 99 do CPC;</w:t>
      </w:r>
    </w:p>
    <w:p>
      <w:pPr>
        <w:spacing w:after="60" w:line="360"/>
        <w:ind w:firstLine="850"/>
        <w:jc w:val="both"/>
      </w:pPr>
      <w:r>
        <w:rPr/>
        <w:t xml:space="preserve">b) a concessão de tutela de urgência para limitar os valores cobrados mensalmente da parte autora a 30% (trinta por cento) de sua renda líquida, até o julgamento da presente ação, sob pena de multa por ato de descumprimento (arts. 300 e 537 do CPC);</w:t>
      </w:r>
    </w:p>
    <w:p>
      <w:pPr>
        <w:spacing w:after="60" w:line="360"/>
        <w:ind w:firstLine="850"/>
        <w:jc w:val="both"/>
      </w:pPr>
      <w:r>
        <w:rPr/>
        <w:t xml:space="preserve">c) a designação de audiência de conciliação, nos termos do art. 104-A do CDC, com a citação da parte credora, cujo não comparecimento injustificado implicará os efeitos do § 2º do mesmo artigo;</w:t>
      </w:r>
    </w:p>
    <w:p>
      <w:pPr>
        <w:spacing w:after="60" w:line="360"/>
        <w:ind w:firstLine="850"/>
        <w:jc w:val="both"/>
      </w:pPr>
      <w:r>
        <w:rPr/>
        <w:t xml:space="preserve">d) havendo conciliação, a homologação judicial do plano de pagamento, na forma do art. 104-A, § 3º, do CDC;</w:t>
      </w:r>
    </w:p>
    <w:p>
      <w:pPr>
        <w:spacing w:after="60" w:line="360"/>
        <w:ind w:firstLine="850"/>
        <w:jc w:val="both"/>
      </w:pPr>
      <w:r>
        <w:rPr/>
        <w:t xml:space="preserve">e) não havendo êxito na conciliação, a instauração do processo por superendividamento, com a intimação dos credores para, querendo, juntar documentos e as razões da negativa de aderir ao plano voluntário ou de renegociar, nos termos do art. 104-B, § 2º, do CDC;</w:t>
      </w:r>
    </w:p>
    <w:p>
      <w:pPr>
        <w:spacing w:after="60" w:line="360"/>
        <w:ind w:firstLine="850"/>
        <w:jc w:val="both"/>
      </w:pPr>
      <w:r>
        <w:rPr/>
        <w:t xml:space="preserve">f) a aplicação do Código de Defesa do Consumidor, com a inversão do ônus da prova (art. 6º, VIII);</w:t>
      </w:r>
    </w:p>
    <w:p>
      <w:pPr>
        <w:spacing w:after="60" w:line="360"/>
        <w:ind w:firstLine="850"/>
        <w:jc w:val="both"/>
      </w:pPr>
      <w:r>
        <w:rPr/>
        <w:t xml:space="preserve">g) no mérito, a procedência da ação, com a revisão das cláusulas contratuais abusivas e a sujeição dos credores a plano de pagamento compulsório, com parcelas limitadas a 30% (trinta por cento) da remuneração líquida da parte autora (art. 104-B, caput, do CDC);</w:t>
      </w:r>
    </w:p>
    <w:p>
      <w:pPr>
        <w:spacing w:after="60" w:line="360"/>
        <w:ind w:firstLine="850"/>
        <w:jc w:val="both"/>
      </w:pPr>
      <w:r>
        <w:rPr/>
        <w:t xml:space="preserve">h) a condenação da parte credora ao pagamento das custas, despesas processuais e honorários advocatícios (arts. 82 e 85 do CPC);</w:t>
      </w:r>
    </w:p>
    <w:p>
      <w:pPr>
        <w:spacing w:after="60" w:line="360"/>
        <w:ind w:firstLine="850"/>
        <w:jc w:val="both"/>
      </w:pPr>
      <w:r>
        <w:rPr/>
        <w:t xml:space="preserve">i) a produção de todas as provas em direito admitidas, em especial a juntada de documentos e a oitiva de testemunhas.</w:t>
      </w:r>
    </w:p>
    <w:p>
      <w:pPr>
        <w:spacing w:after="60" w:line="360"/>
        <w:ind w:firstLine="850"/>
        <w:jc w:val="both"/>
      </w:pPr>
      <w:r>
        <w:rPr/>
        <w:t xml:space="preserve">Dá-se à causa o valor de R$ </w:t>
      </w:r>
      <w:r>
        <w:rPr>
          <w:highlight w:val="yellow"/>
        </w:rPr>
        <w:t xml:space="preserve">[__]</w:t>
      </w:r>
      <w:r>
        <w:rPr/>
        <w:t xml:space="preserve"> (</w:t>
      </w:r>
      <w:r>
        <w:rPr>
          <w:highlight w:val="yellow"/>
        </w:rPr>
        <w:t xml:space="preserve">[valor por extenso]</w:t>
      </w:r>
      <w:r>
        <w:rPr/>
        <w:t xml:space="preserve">), correspondente à soma total das dívidas.</w:t>
      </w:r>
    </w:p>
    <w:p>
      <w:pPr>
        <w:spacing w:after="0" w:line="360"/>
      </w:pPr>
    </w:p>
    <w:p>
      <w:pPr>
        <w:spacing w:after="0" w:line="360"/>
        <w:jc w:val="center"/>
      </w:pPr>
      <w:r>
        <w:rPr/>
        <w:t xml:space="preserve">Nestes termos,</w:t>
      </w:r>
    </w:p>
    <w:p>
      <w:pPr>
        <w:spacing w:after="0" w:line="360"/>
        <w:jc w:val="center"/>
      </w:pPr>
      <w:r>
        <w:rPr/>
        <w:t xml:space="preserve">Pede deferimento.</w:t>
      </w:r>
    </w:p>
    <w:p>
      <w:pPr>
        <w:spacing w:after="0" w:line="360"/>
        <w:jc w:val="center"/>
      </w:pPr>
      <w:r>
        <w:rPr>
          <w:highlight w:val="yellow"/>
        </w:rPr>
        <w:t xml:space="preserve">[Cidade]</w:t>
      </w:r>
      <w:r>
        <w:rPr/>
        <w:t xml:space="preserve">-</w:t>
      </w:r>
      <w:r>
        <w:rPr>
          <w:highlight w:val="yellow"/>
        </w:rPr>
        <w:t xml:space="preserve">[UF]</w:t>
      </w:r>
      <w:r>
        <w:rPr/>
        <w:t xml:space="preserve">, datado eletronicamente.</w:t>
      </w:r>
    </w:p>
    <w:p>
      <w:pPr>
        <w:spacing w:after="0" w:line="360"/>
      </w:pPr>
    </w:p>
    <w:p>
      <w:pPr>
        <w:spacing w:after="0" w:line="360"/>
        <w:jc w:val="center"/>
      </w:pPr>
      <w:r>
        <w:rPr>
          <w:b/>
          <w:bCs/>
        </w:rPr>
        <w:t xml:space="preserve">ANTÔNIO DE PÁDUA SANTOS NETO</w:t>
      </w:r>
    </w:p>
    <w:p>
      <w:pPr>
        <w:spacing w:after="0" w:line="360"/>
        <w:jc w:val="center"/>
      </w:pPr>
      <w:r>
        <w:rPr>
          <w:b/>
          <w:bCs/>
        </w:rPr>
        <w:t xml:space="preserve">ADVOGADO - OAB/PI 21.320</w:t>
      </w:r>
    </w:p>
    <w:p>
      <w:pPr>
        <w:keepNext/>
        <w:shd w:fill="123BB8" w:color="auto" w:val="clear"/>
        <w:tabs>
          <w:tab w:val="left" w:pos="1000"/>
        </w:tabs>
        <w:spacing w:after="240" w:before="360" w:line="360"/>
        <w:ind w:left="0"/>
      </w:pPr>
      <w:r>
        <w:rPr>
          <w:b/>
          <w:bCs/>
          <w:i/>
          <w:iCs/>
          <w:color w:val="FFFFFF"/>
        </w:rPr>
        <w:t xml:space="preserve">	Notas.</w:t>
      </w:r>
    </w:p>
    <w:p>
      <w:pPr>
        <w:spacing w:after="0" w:line="360"/>
        <w:jc w:val="both"/>
      </w:pPr>
      <w:r>
        <w:rPr/>
        <w:t xml:space="preserve">¹ Art. 104-A. A requerimento do consumidor superendividado pessoa natural, o juiz poderá instaurar processo de repactuação de dívidas, com vistas à realização de audiência conciliatória, presidida por ele ou por conciliador credenciado no juízo, com a presença de todos os credores de dívidas previstas no art. 54-A deste Código, na qual o consumidor apresentará proposta de plano de pagamento com prazo máximo de 5 (cinco) anos, preservados o mínimo existencial, nos termos da regulamentação, e as garantias e as formas de pagamento originalmente pactuadas.</w:t>
      </w:r>
    </w:p>
    <w:p>
      <w:pPr>
        <w:spacing w:after="0" w:line="360"/>
        <w:jc w:val="both"/>
      </w:pPr>
      <w:r>
        <w:rPr/>
        <w:t xml:space="preserve">² Art. 104-B. Se não houver êxito na conciliação em relação a quaisquer credores, o juiz, a pedido do consumidor, instaurará processo por superendividamento para revisão e integração dos contratos e repactuação das dívidas remanescentes mediante plano judicial compulsório e procederá à citação de todos os credores cujos créditos não tenham integrado o acordo porventura celebrado.</w:t>
      </w:r>
    </w:p>
    <w:sectPr>
      <w:headerReference w:type="default" r:id="rId7"/>
      <w:footerReference w:type="default" r:id="rId8"/>
      <w:pgSz w:w="11906" w:h="16838" w:orient="portrait"/>
      <w:pgMar w:top="2330" w:right="1134" w:bottom="15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AA0A6" w:sz="6" w:space="4"/>
      </w:pBdr>
      <w:spacing w:line="240"/>
      <w:jc w:val="center"/>
    </w:pPr>
    <w:r>
      <w:rPr>
        <w:b/>
        <w:bCs/>
        <w:i/>
        <w:iCs/>
        <w:color w:val="123BB8"/>
        <w:sz w:val="16"/>
        <w:szCs w:val="16"/>
      </w:rPr>
      <w:t xml:space="preserve">Rua Rio Grande do Sul, 1641, bairro São Miguel, CEP: 64.130-000, Miguel Alves-PI - (86) 9 7400-9869 - paduanetojus@gmail.com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drawing>
        <wp:inline distT="0" distB="0" distL="0" distR="0">
          <wp:extent cx="180975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809750" cy="952500"/>
                  </a:xfrm>
                  <a:prstGeom prst="rect">
                    <a:avLst/>
                  </a:prstGeom>
                </pic:spPr>
              </pic:pic>
            </a:graphicData>
          </a:graphic>
        </wp:inline>
      </w:drawing>
    </w:r>
  </w:p>
  <w:p>
    <w:pPr>
      <w:pBdr>
        <w:bottom w:val="single" w:color="9AA0A6" w:sz="6" w:space="1"/>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ora" w:cs="Lora" w:eastAsia="Lora" w:hAnsi="Lor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2a26ce5428c3d3d8b74c564df80a7d487fd53a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3 - Repactuação - revisão de cláusulas e plano compulsório</dc:title>
  <dc:creator>Antônio de Pádua Santos Neto</dc:creator>
  <cp:lastModifiedBy>Un-named</cp:lastModifiedBy>
  <cp:revision>1</cp:revision>
  <dcterms:created xsi:type="dcterms:W3CDTF">2026-10-03T02:33:01.698Z</dcterms:created>
  <dcterms:modified xsi:type="dcterms:W3CDTF">2026-10-03T02:33:01.705Z</dcterms:modified>
</cp:coreProperties>
</file>

<file path=docProps/custom.xml><?xml version="1.0" encoding="utf-8"?>
<Properties xmlns="http://schemas.openxmlformats.org/officeDocument/2006/custom-properties" xmlns:vt="http://schemas.openxmlformats.org/officeDocument/2006/docPropsVTypes"/>
</file>