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EXCELENTÍSSIMO SENHOR DOUTOR JUIZ DE DIREITO DA VARA ÚNICA DA COMARCA DE MIGUEL ALVES — ESTADO DO PIAUÍ</w:t>
      </w:r>
    </w:p>
    <w:p>
      <w:pPr>
        <w:pStyle w:val="BodyText"/>
      </w:pPr>
      <w:r>
        <w:rPr>
          <w:bCs/>
          <w:b/>
        </w:rPr>
        <w:t xml:space="preserve">Processo nº 0800990-83.2026.8.18.0061</w:t>
      </w:r>
    </w:p>
    <w:p>
      <w:pPr>
        <w:pStyle w:val="BodyText"/>
      </w:pPr>
      <w:r>
        <w:rPr>
          <w:bCs/>
          <w:b/>
        </w:rPr>
        <w:t xml:space="preserve">ELY SANDRO VAZ E SILVA</w:t>
      </w:r>
      <w:r>
        <w:t xml:space="preserve">, já qualificado nos autos da ação movida por</w:t>
      </w:r>
      <w:r>
        <w:t xml:space="preserve"> </w:t>
      </w:r>
      <w:r>
        <w:rPr>
          <w:bCs/>
          <w:b/>
        </w:rPr>
        <w:t xml:space="preserve">FRANCISCO ANTÔNIO REBELO DE PAIVA</w:t>
      </w:r>
      <w:r>
        <w:t xml:space="preserve">, por seu advogado, vem, respeitosamente, à presença de Vossa Excelência, com fundamento nos arts. 2º, 21 e 22 da Lei nº 9.099/1995 e nos arts. 3º, §§ 2º e 3º, e 139, V, do Código de Processo Civil, apresentar</w:t>
      </w:r>
    </w:p>
    <w:bookmarkStart w:id="23" w:name="proposta-de-acordo"/>
    <w:p>
      <w:pPr>
        <w:pStyle w:val="Heading1"/>
        <w:jc w:val="center"/>
      </w:pPr>
      <w:r>
        <w:t xml:space="preserve">PROPOSTA DE ACORDO</w:t>
      </w:r>
    </w:p>
    <w:p>
      <w:pPr>
        <w:pStyle w:val="FirstParagraph"/>
      </w:pPr>
      <w:r>
        <w:t xml:space="preserve">nos termos a seguir, reafirmando a disposição conciliatória já manifestada na contestação (ID 106243575).</w:t>
      </w:r>
    </w:p>
    <w:bookmarkStart w:id="20" w:name="i.-da-finalidade-da-proposta"/>
    <w:p>
      <w:pPr>
        <w:pStyle w:val="Heading2"/>
      </w:pPr>
      <w:r>
        <w:t xml:space="preserve">I. Da finalidade da proposta</w:t>
      </w:r>
    </w:p>
    <w:p>
      <w:pPr>
        <w:pStyle w:val="FirstParagraph"/>
      </w:pPr>
      <w:r>
        <w:t xml:space="preserve">O requerido mantém integralmente as teses de defesa, em especial a incidência da imunidade parlamentar material (art. 29, VIII, da Constituição Federal; Tema 469 do STF), já reconhecida por este Juízo em cognição sumária (ID 100909958). Ainda assim, em atenção ao dever de cooperação e à política judiciária de solução consensual dos conflitos, apresenta proposta</w:t>
      </w:r>
      <w:r>
        <w:t xml:space="preserve"> </w:t>
      </w:r>
      <w:r>
        <w:rPr>
          <w:bCs/>
          <w:b/>
        </w:rPr>
        <w:t xml:space="preserve">concreta</w:t>
      </w:r>
      <w:r>
        <w:t xml:space="preserve"> </w:t>
      </w:r>
      <w:r>
        <w:t xml:space="preserve">de composição, o que afasta a alegação do autor de que o interesse conciliatório seria</w:t>
      </w:r>
      <w:r>
        <w:t xml:space="preserve"> </w:t>
      </w:r>
      <w:r>
        <w:t xml:space="preserve">“</w:t>
      </w:r>
      <w:r>
        <w:t xml:space="preserve">meramente formal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desacompanhado de qualquer proposta concreta</w:t>
      </w:r>
      <w:r>
        <w:t xml:space="preserve">”</w:t>
      </w:r>
      <w:r>
        <w:t xml:space="preserve"> </w:t>
      </w:r>
      <w:r>
        <w:t xml:space="preserve">(ID 107306168).</w:t>
      </w:r>
    </w:p>
    <w:bookmarkEnd w:id="20"/>
    <w:bookmarkStart w:id="21" w:name="ii.-das-condições-propostas"/>
    <w:p>
      <w:pPr>
        <w:pStyle w:val="Heading2"/>
      </w:pPr>
      <w:r>
        <w:t xml:space="preserve">II. Das condições propostas</w:t>
      </w:r>
    </w:p>
    <w:p>
      <w:pPr>
        <w:pStyle w:val="FirstParagraph"/>
      </w:pPr>
      <w:r>
        <w:rPr>
          <w:bCs/>
          <w:b/>
        </w:rPr>
        <w:t xml:space="preserve">Cláusula 1ª — Nota de esclarecimento.</w:t>
      </w:r>
      <w:r>
        <w:t xml:space="preserve"> </w:t>
      </w:r>
      <w:r>
        <w:t xml:space="preserve">O requerido publicará,</w:t>
      </w:r>
      <w:r>
        <w:t xml:space="preserve"> </w:t>
      </w:r>
      <w:r>
        <w:rPr>
          <w:bCs/>
          <w:b/>
        </w:rPr>
        <w:t xml:space="preserve">uma única vez</w:t>
      </w:r>
      <w:r>
        <w:t xml:space="preserve">, em seu perfil pessoal no Facebook, no prazo de 5 (cinco) dias contados da homologação, mantendo-a publicada por 7 (sete) dias, a seguinte nota, sem acréscimos ou supressões: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Esclarecimento. Em relação aos pronunciamentos que fiz entre fevereiro e maio de 2026 sobre a quantia apreendida com o Secretário Municipal de Finanças, informo que, por decisão de 24/06/2026, o Juízo da Central de Inquéritos de Teresina arquivou o Inquérito Policial nº 0816146-68.2026.8.18.0140, reconhecendo a origem lícita do valor de R$ 147.300,00 e determinando a sua restituição. Registro essa informação em respeito ao direito de informação da população de Miguel Alves.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Cláusula 2ª — Ausência de reconhecimento de culpa.</w:t>
      </w:r>
      <w:r>
        <w:t xml:space="preserve"> </w:t>
      </w:r>
      <w:r>
        <w:t xml:space="preserve">A nota tem caráter exclusivamente informativo e reproduz fato objetivo já admitido na contestação. O acordo</w:t>
      </w:r>
      <w:r>
        <w:t xml:space="preserve"> </w:t>
      </w:r>
      <w:r>
        <w:rPr>
          <w:bCs/>
          <w:b/>
        </w:rPr>
        <w:t xml:space="preserve">não importa reconhecimento</w:t>
      </w:r>
      <w:r>
        <w:t xml:space="preserve"> </w:t>
      </w:r>
      <w:r>
        <w:t xml:space="preserve">de ilicitude, culpa, responsabilidade civil ou penal, nem de inveracidade de qualquer manifestação, e</w:t>
      </w:r>
      <w:r>
        <w:t xml:space="preserve"> </w:t>
      </w:r>
      <w:r>
        <w:rPr>
          <w:bCs/>
          <w:b/>
        </w:rPr>
        <w:t xml:space="preserve">não implica renúncia</w:t>
      </w:r>
      <w:r>
        <w:t xml:space="preserve"> </w:t>
      </w:r>
      <w:r>
        <w:t xml:space="preserve">à imunidade parlamentar material ou ao exercício da função fiscalizadora inerente ao mandato.</w:t>
      </w:r>
    </w:p>
    <w:p>
      <w:pPr>
        <w:pStyle w:val="BodyText"/>
      </w:pPr>
      <w:r>
        <w:rPr>
          <w:bCs/>
          <w:b/>
        </w:rPr>
        <w:t xml:space="preserve">Cláusula 3ª — Sem obrigações pecuniárias ou de abstenção.</w:t>
      </w:r>
      <w:r>
        <w:t xml:space="preserve"> </w:t>
      </w:r>
      <w:r>
        <w:t xml:space="preserve">Não haverá pagamento de qualquer valor a título de indenização, nem obrigação de remoção de conteúdo ou de abstenção de manifestações futuras.</w:t>
      </w:r>
    </w:p>
    <w:p>
      <w:pPr>
        <w:pStyle w:val="BodyText"/>
      </w:pPr>
      <w:r>
        <w:rPr>
          <w:bCs/>
          <w:b/>
        </w:rPr>
        <w:t xml:space="preserve">Cláusula 4ª — Extinção e quitação.</w:t>
      </w:r>
      <w:r>
        <w:t xml:space="preserve"> </w:t>
      </w:r>
      <w:r>
        <w:t xml:space="preserve">O autor</w:t>
      </w:r>
      <w:r>
        <w:t xml:space="preserve"> </w:t>
      </w:r>
      <w:r>
        <w:rPr>
          <w:bCs/>
          <w:b/>
        </w:rPr>
        <w:t xml:space="preserve">renuncia ao direito sobre o qual se funda a ação</w:t>
      </w:r>
      <w:r>
        <w:t xml:space="preserve">, requerendo-se a homologação do acordo e a extinção do processo com resolução do mérito (art. 487, III,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 do CPC), com</w:t>
      </w:r>
      <w:r>
        <w:t xml:space="preserve"> </w:t>
      </w:r>
      <w:r>
        <w:rPr>
          <w:bCs/>
          <w:b/>
        </w:rPr>
        <w:t xml:space="preserve">plena, geral e recíproca quitação</w:t>
      </w:r>
      <w:r>
        <w:t xml:space="preserve"> </w:t>
      </w:r>
      <w:r>
        <w:t xml:space="preserve">quanto aos fatos narrados na inicial.</w:t>
      </w:r>
    </w:p>
    <w:p>
      <w:pPr>
        <w:pStyle w:val="BodyText"/>
      </w:pPr>
      <w:r>
        <w:rPr>
          <w:bCs/>
          <w:b/>
        </w:rPr>
        <w:t xml:space="preserve">Cláusula 5ª — Custas e honorários.</w:t>
      </w:r>
      <w:r>
        <w:t xml:space="preserve"> </w:t>
      </w:r>
      <w:r>
        <w:t xml:space="preserve">Cada parte arcará com os honorários de seu advogado. Sem custas, nos termos do art. 54 da Lei nº 9.099/1995.</w:t>
      </w:r>
    </w:p>
    <w:p>
      <w:pPr>
        <w:pStyle w:val="BodyText"/>
      </w:pPr>
      <w:r>
        <w:rPr>
          <w:bCs/>
          <w:b/>
        </w:rPr>
        <w:t xml:space="preserve">Cláusula 6ª — Queixa-crime.</w:t>
      </w:r>
      <w:r>
        <w:t xml:space="preserve"> </w:t>
      </w:r>
      <w:r>
        <w:t xml:space="preserve">[OPCIONAL — confirmar com o cliente] Considerando que os mesmos fatos são objeto da Queixa-Crime nº 0800876-47.2026.8.18.0061, em trâmite neste Juízo, o querelante concede</w:t>
      </w:r>
      <w:r>
        <w:t xml:space="preserve"> </w:t>
      </w:r>
      <w:r>
        <w:rPr>
          <w:bCs/>
          <w:b/>
        </w:rPr>
        <w:t xml:space="preserve">perdão</w:t>
      </w:r>
      <w:r>
        <w:t xml:space="preserve"> </w:t>
      </w:r>
      <w:r>
        <w:t xml:space="preserve">ao querelado, para os fins dos arts. 105 e 107, V, do Código Penal, comprometendo-se a requerer a extinção da punibilidade naqueles autos no prazo de 5 (cinco) dias da homologação.</w:t>
      </w:r>
    </w:p>
    <w:p>
      <w:pPr>
        <w:pStyle w:val="BodyText"/>
      </w:pPr>
      <w:r>
        <w:rPr>
          <w:bCs/>
          <w:b/>
        </w:rPr>
        <w:t xml:space="preserve">Cláusula 7ª — Descumprimento.</w:t>
      </w:r>
      <w:r>
        <w:t xml:space="preserve"> </w:t>
      </w:r>
      <w:r>
        <w:t xml:space="preserve">O descumprimento da Cláusula 1ª autoriza a execução da obrigação de fazer nos próprios autos (art. 52, V, da Lei nº 9.099/1995).</w:t>
      </w:r>
    </w:p>
    <w:bookmarkEnd w:id="21"/>
    <w:bookmarkStart w:id="22" w:name="iii.-dos-requerimentos"/>
    <w:p>
      <w:pPr>
        <w:pStyle w:val="Heading2"/>
      </w:pPr>
      <w:r>
        <w:t xml:space="preserve">III. Dos requerimentos</w:t>
      </w:r>
    </w:p>
    <w:p>
      <w:pPr>
        <w:pStyle w:val="FirstParagraph"/>
      </w:pPr>
      <w:r>
        <w:t xml:space="preserve">Ante o exposto, requer:</w:t>
      </w:r>
    </w:p>
    <w:p>
      <w:pPr>
        <w:numPr>
          <w:ilvl w:val="0"/>
          <w:numId w:val="1001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registro desta proposta</w:t>
      </w:r>
      <w:r>
        <w:t xml:space="preserve"> </w:t>
      </w:r>
      <w:r>
        <w:t xml:space="preserve">nos autos e em ata;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intimação do autor</w:t>
      </w:r>
      <w:r>
        <w:t xml:space="preserve"> </w:t>
      </w:r>
      <w:r>
        <w:t xml:space="preserve">para que se manifeste sobre ela;</w:t>
      </w:r>
    </w:p>
    <w:p>
      <w:pPr>
        <w:numPr>
          <w:ilvl w:val="0"/>
          <w:numId w:val="1001"/>
        </w:numPr>
        <w:pStyle w:val="Compact"/>
      </w:pPr>
      <w:r>
        <w:t xml:space="preserve">em caso de aceitação, a</w:t>
      </w:r>
      <w:r>
        <w:t xml:space="preserve"> </w:t>
      </w:r>
      <w:r>
        <w:rPr>
          <w:bCs/>
          <w:b/>
        </w:rPr>
        <w:t xml:space="preserve">homologação do acordo</w:t>
      </w:r>
      <w:r>
        <w:t xml:space="preserve"> </w:t>
      </w:r>
      <w:r>
        <w:t xml:space="preserve">por sentença, com resolução do mérito (art. 22, parágrafo único, da Lei nº 9.099/1995; art. 487, III, do CPC);</w:t>
      </w:r>
    </w:p>
    <w:p>
      <w:pPr>
        <w:numPr>
          <w:ilvl w:val="0"/>
          <w:numId w:val="1001"/>
        </w:numPr>
        <w:pStyle w:val="Compact"/>
      </w:pPr>
      <w:r>
        <w:t xml:space="preserve">em caso de recusa, o</w:t>
      </w:r>
      <w:r>
        <w:t xml:space="preserve"> </w:t>
      </w:r>
      <w:r>
        <w:rPr>
          <w:bCs/>
          <w:b/>
        </w:rPr>
        <w:t xml:space="preserve">registro de que a composição foi inviabilizada pelo autor</w:t>
      </w:r>
      <w:r>
        <w:t xml:space="preserve"> </w:t>
      </w:r>
      <w:r>
        <w:t xml:space="preserve">e o regular prosseguimento do feito, com o julgamento antecipado do mérito (art. 355, I, do CPC).</w:t>
      </w:r>
    </w:p>
    <w:p>
      <w:pPr>
        <w:pStyle w:val="FirstParagraph"/>
        <w:jc w:val="center"/>
      </w:pPr>
      <w:r>
        <w:t xml:space="preserve">Nestes termos, pede deferimento.</w:t>
      </w:r>
    </w:p>
    <w:p>
      <w:pPr>
        <w:pStyle w:val="BodyText"/>
        <w:jc w:val="center"/>
      </w:pPr>
      <w:r>
        <w:t xml:space="preserve">Miguel Alves/PI, 22 de outubro de 2026.</w:t>
      </w:r>
    </w:p>
    <w:p>
      <w:pPr>
        <w:pStyle w:val="BodyText"/>
        <w:jc w:val="center"/>
      </w:pPr>
      <w:r>
        <w:rPr>
          <w:bCs/>
          <w:b/>
        </w:rPr>
        <w:t xml:space="preserve">ANTÔNIO DE PÁDUA SANTOS NETO</w:t>
      </w:r>
      <w:r>
        <w:br/>
      </w:r>
      <w:r>
        <w:rPr>
          <w:bCs/>
          <w:b/>
        </w:rPr>
        <w:t xml:space="preserve">OAB/PI nº 21.320</w:t>
      </w:r>
    </w:p>
    <w:bookmarkEnd w:id="22"/>
    <w:bookmarkEnd w:id="23"/>
    <w:sectPr>
      <w:pgSz w:h="16838" w:w="11906"/>
      <w:pgMar w:bottom="1134" w:footer="567" w:gutter="0" w:header="567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3"/>
        <w:szCs w:val="23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00" w:before="60" w:line="264" w:lineRule="auto"/>
      <w:jc w:val="both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pBdr>
        <w:bottom w:color="000000" w:space="2" w:sz="6" w:val="single"/>
      </w:pBd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000000" w:space="8" w:sz="18" w:val="single"/>
      </w:pBdr>
      <w:spacing w:after="80" w:before="40" w:line="276" w:lineRule="auto"/>
      <w:ind w:firstLine="0" w:left="340" w:right="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2026-10-22T13:49:13Z</dcterms:created>
  <dcterms:modified xsi:type="dcterms:W3CDTF">2026-10-22T13:49:13Z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