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setembro de 2026, </w:t>
      </w:r>
      <w:r>
        <w:rPr>
          <w:b/>
          <w:bCs/>
        </w:rPr>
        <w:t xml:space="preserve">R$ 3.871,05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 e precisou de nova moradia: a compra do imóvel e as obras foram pagas à vista,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parcelas, na 18ª e na 17ª parcela em setembro de 2026; R$ 241,37, em 120 parcelas, iniciado em março de 2026; e R$ 140,35), o que corresponde a </w:t>
      </w:r>
      <w:r>
        <w:rPr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R$ 2.336,37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</w:t>
      </w:r>
      <w:r>
        <w:rPr>
          <w:b/>
          <w:bCs/>
        </w:rPr>
        <w:t xml:space="preserve">Bradesco</w:t>
      </w:r>
      <w:r>
        <w:rPr/>
        <w:t xml:space="preserve">, 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87,33%</w:t>
      </w:r>
      <w:r>
        <w:rPr/>
        <w:t xml:space="preserve"> da remuneração líquida do Autor. Deduzida a pensão alimentícia (R$ 2.899,61), alcançam </w:t>
      </w:r>
      <w:r>
        <w:rPr>
          <w:b/>
          <w:bCs/>
        </w:rPr>
        <w:t xml:space="preserve">109,73%</w:t>
      </w:r>
      <w:r>
        <w:rPr/>
        <w:t xml:space="preserve"> do que lhe resta, sem contar as parcelas vencidas do Bradesco, que, se exigidas, somariam mais R$ 4.034,03 por mês.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b/>
          <w:bCs/>
        </w:rPr>
        <w:t xml:space="preserve">R$ 1.984,90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aluguel: R$ 600,00;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internet: R$ 84,90;</w:t>
      </w:r>
    </w:p>
    <w:p>
      <w:pPr>
        <w:spacing w:after="60" w:line="360"/>
        <w:ind w:firstLine="850"/>
        <w:jc w:val="both"/>
      </w:pPr>
      <w:r>
        <w:rPr/>
        <w:t xml:space="preserve">a que se somam as contas de água e energia elétrica </w:t>
      </w:r>
      <w:r>
        <w:rPr>
          <w:highlight w:val="yellow"/>
        </w:rPr>
        <w:t xml:space="preserve">[R$ __]</w:t>
      </w:r>
      <w:r>
        <w:rPr/>
        <w:t xml:space="preserve">. Essas despesas não são custeadas com regularidade. A própria conta de internet de sua residência (Connect Telecomunicações, R$ 84,90 mensais, serviço indispensável ao exercício da docência), com vencimento em 30/06/2026, só pôde ser emitida em segunda via, para 14/07/2026, já acrescida de encargos de atraso.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51,45% da remuneração líquida, acima da margem informada pelos próprios órgãos pagadores,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R$ 4.971,33</w:t>
      </w:r>
      <w:r>
        <w:rPr/>
        <w:t xml:space="preserve">, correspondente a 35% de sua remuneração líquida (R$ 3.799,19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R$ 298.279,80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