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jc w:val="both"/>
      </w:pPr>
      <w:r>
        <w:rPr>
          <w:b/>
          <w:bCs/>
        </w:rPr>
        <w:t xml:space="preserve">EXCELENTÍSSIMO SENHOR DOUTOR JUIZ DE DIREITO DA VARA ÚNICA DA COMARCA DE MIGUEL ALVES-PI.</w:t>
      </w:r>
    </w:p>
    <w:p>
      <w:pPr>
        <w:spacing w:after="0"/>
      </w:pPr>
    </w:p>
    <w:p>
      <w:pPr>
        <w:spacing w:after="0"/>
      </w:pPr>
    </w:p>
    <w:p>
      <w:pPr>
        <w:spacing w:after="60" w:line="360"/>
        <w:ind w:firstLine="0"/>
        <w:jc w:val="both"/>
      </w:pPr>
      <w:r>
        <w:rPr>
          <w:b/>
          <w:bCs/>
        </w:rPr>
        <w:t xml:space="preserve">PEDRO ACELINO E MOURA</w:t>
      </w:r>
      <w:r>
        <w:t xml:space="preserve">, brasileiro, comerciante, solteiro, portador do CPF nº 009.222.913-14, nascido em 15/04/1984, filho de Maria da Natividade Moura e de Pedro Acelino da Silva, residente e domiciliado na Rua Rio Grande do Sul, nº 3389, bairro São Miguel, Miguel Alves-PI, CEP: 64.130-000, e </w:t>
      </w:r>
      <w:r>
        <w:rPr>
          <w:b/>
          <w:bCs/>
        </w:rPr>
        <w:t xml:space="preserve">PEDRO ACELINO E MOURA ME</w:t>
      </w:r>
      <w:r>
        <w:t xml:space="preserve">, nome fantasia </w:t>
      </w:r>
      <w:r>
        <w:rPr>
          <w:b/>
          <w:bCs/>
        </w:rPr>
        <w:t xml:space="preserve">DEPÓSITO BETS BAR</w:t>
      </w:r>
      <w:r>
        <w:t xml:space="preserve">, pessoa jurídica de direito privado inscrita no CNPJ sob o nº 42.828.031/0001-85, com sede na Rua Rio Grande do Sul, nº 3389, bairro São Miguel, Miguel Alves-PI, CEP: 64.130-000, neste ato representada por seu titular, PEDRO ACELINO E MOURA, acima qualificado, por meio de seu advogado, ANTÔNIO DE PÁDUA SANTOS NETO, inscrito nos quadros da OAB-PI sob o nº 21.320, constituído mediante procuração em anexo, com endereço físico na Rua Rio Grande do Sul, nº 1641, bairro São Miguel, Miguel Alves-PI, CEP: 64.130-000, e eletrônico: paduanetojus@gmail.com, vêm, à presença de Vossa Excelência, propor a presente</w:t>
      </w:r>
    </w:p>
    <w:p>
      <w:pPr>
        <w:spacing w:after="0"/>
      </w:pPr>
    </w:p>
    <w:p>
      <w:pPr>
        <w:spacing w:after="0" w:line="360"/>
        <w:jc w:val="center"/>
      </w:pPr>
      <w:r>
        <w:rPr>
          <w:b/>
          <w:bCs/>
        </w:rPr>
        <w:t xml:space="preserve">AÇÃO DE OBRIGAÇÃO DE FAZER C/C RESTITUIÇÃO DE VALORES E INDENIZAÇÃO POR DANOS MORAIS, COM PEDIDO DE TUTELA DE URGÊNCIA</w:t>
      </w:r>
    </w:p>
    <w:p>
      <w:pPr>
        <w:spacing w:after="0"/>
      </w:pPr>
    </w:p>
    <w:p>
      <w:pPr>
        <w:spacing w:after="60" w:line="360"/>
        <w:ind w:firstLine="0"/>
        <w:jc w:val="both"/>
      </w:pPr>
      <w:r>
        <w:t xml:space="preserve">em face de </w:t>
      </w:r>
      <w:r>
        <w:rPr>
          <w:b/>
          <w:bCs/>
        </w:rPr>
        <w:t xml:space="preserve">PAGSEGURO INTERNET INSTITUIÇÃO DE PAGAMENTO S.A. (PAGBANK)</w:t>
      </w:r>
      <w:r>
        <w:t xml:space="preserve">, pessoa jurídica de direito privado inscrita no CNPJ sob o nº 08.561.701/0001-01, com sede na Avenida Brigadeiro Faria Lima, nº 1384, 4º andar, Jardim Paulistano, São Paulo-SP, CEP: 01.451-001, pelos fundamentos fáticos e jurídicos a seguir aduzidos.</w:t>
      </w:r>
    </w:p>
    <w:p>
      <w:pPr>
        <w:shd w:fill="123BB8" w:color="auto" w:val="clear"/>
        <w:tabs>
          <w:tab w:val="left" w:pos="1000"/>
        </w:tabs>
        <w:spacing w:after="240" w:before="360" w:line="360"/>
        <w:ind w:left="0"/>
      </w:pPr>
      <w:r>
        <w:rPr>
          <w:b/>
          <w:bCs/>
          <w:i/>
          <w:iCs/>
          <w:color w:val="FFFFFF"/>
        </w:rPr>
        <w:t xml:space="preserve">	Preliminarmente.</w:t>
      </w:r>
    </w:p>
    <w:p>
      <w:pPr>
        <w:keepNext/>
        <w:tabs>
          <w:tab w:val="left" w:pos="700"/>
        </w:tabs>
        <w:spacing w:after="160" w:before="240" w:line="360"/>
        <w:ind w:left="700" w:hanging="400"/>
      </w:pPr>
      <w:r>
        <w:rPr>
          <w:b/>
          <w:bCs/>
          <w:i/>
          <w:iCs/>
        </w:rPr>
        <w:t xml:space="preserve">a.	</w:t>
      </w:r>
      <w:r>
        <w:rPr>
          <w:b/>
          <w:bCs/>
          <w:i/>
          <w:iCs/>
        </w:rPr>
        <w:t xml:space="preserve">Do rito e da legitimidade ativa da microempresa:</w:t>
      </w:r>
    </w:p>
    <w:p>
      <w:pPr>
        <w:spacing w:after="60" w:line="360"/>
        <w:ind w:firstLine="850"/>
        <w:jc w:val="both"/>
      </w:pPr>
      <w:r>
        <w:t xml:space="preserve">A causa, de menor complexidade e de valor inferior a quarenta salários mínimos, comporta processamento sob o rito da Lei nº 9.099/1995 (art. 3º, I). A segunda autora, empresária individual enquadrada como microempresa, possui legitimidade para propor ação perante o Juizado Especial Cível, nos termos do </w:t>
      </w:r>
      <w:r>
        <w:rPr>
          <w:b/>
          <w:bCs/>
          <w:u w:val="single"/>
          <w:shd w:fill="CFE2F3" w:color="auto" w:val="clear"/>
        </w:rPr>
        <w:t xml:space="preserve">art. 8º, § 1º, II, da Lei nº 9.099/1995</w:t>
      </w:r>
      <w:r>
        <w:t xml:space="preserve"> e do art. 74 da Lei Complementar nº 123/2006.</w:t>
      </w:r>
    </w:p>
    <w:p>
      <w:pPr>
        <w:spacing w:after="60" w:line="360"/>
        <w:ind w:firstLine="850"/>
        <w:jc w:val="both"/>
      </w:pPr>
      <w:r>
        <w:t xml:space="preserve">O litisconsórcio ativo justifica-se porque ambas as contas, a de pessoa física e a de pessoa jurídica, foram encerradas pela ré no mesmo ato, na mesma data e pela mesma causa, havendo comunhão de direitos e identidade de fundamento (art. 113, I e III, do CPC).</w:t>
      </w:r>
    </w:p>
    <w:p>
      <w:pPr>
        <w:keepNext/>
        <w:tabs>
          <w:tab w:val="left" w:pos="700"/>
        </w:tabs>
        <w:spacing w:after="160" w:before="240" w:line="360"/>
        <w:ind w:left="700" w:hanging="400"/>
      </w:pPr>
      <w:r>
        <w:rPr>
          <w:b/>
          <w:bCs/>
          <w:i/>
          <w:iCs/>
        </w:rPr>
        <w:t xml:space="preserve">b.	</w:t>
      </w:r>
      <w:r>
        <w:rPr>
          <w:b/>
          <w:bCs/>
          <w:i/>
          <w:iCs/>
        </w:rPr>
        <w:t xml:space="preserve">Da audiência de conciliação:</w:t>
      </w:r>
    </w:p>
    <w:p>
      <w:pPr>
        <w:spacing w:after="60" w:line="360"/>
        <w:ind w:firstLine="850"/>
        <w:jc w:val="both"/>
      </w:pPr>
      <w:r>
        <w:t xml:space="preserve">Os autores manifestam interesse na audiência de conciliação (arts. 21 e 22 da Lei nº 9.099/1995) e requerem, desde já, sua realização por videoconferência, nos termos do § 2º do art. 22 da mesma lei, considerando que a ré tem sede em outro Estado.</w:t>
      </w:r>
    </w:p>
    <w:p>
      <w:pPr>
        <w:shd w:fill="123BB8" w:color="auto" w:val="clear"/>
        <w:tabs>
          <w:tab w:val="left" w:pos="1000"/>
        </w:tabs>
        <w:spacing w:after="240" w:before="360" w:line="360"/>
        <w:ind w:left="0"/>
      </w:pPr>
      <w:r>
        <w:rPr>
          <w:b/>
          <w:bCs/>
          <w:i/>
          <w:iCs/>
          <w:color w:val="FFFFFF"/>
        </w:rPr>
        <w:t xml:space="preserve">	Dos fatos.</w:t>
      </w:r>
    </w:p>
    <w:p>
      <w:pPr>
        <w:spacing w:after="60" w:line="360"/>
        <w:ind w:firstLine="850"/>
        <w:jc w:val="both"/>
      </w:pPr>
      <w:r>
        <w:t xml:space="preserve">Os autores mantinham, desde aproximadamente o ano de 2023, duas contas na instituição ré (PagBank): uma em nome da pessoa física, Pedro Acelino e Moura, e outra em nome da pessoa jurídica, Pedro Acelino e Moura ME (Depósito Bets Bar), utilizada para movimentar as receitas do estabelecimento comercial.</w:t>
      </w:r>
    </w:p>
    <w:p>
      <w:pPr>
        <w:spacing w:after="60" w:line="360"/>
        <w:ind w:firstLine="850"/>
        <w:jc w:val="both"/>
      </w:pPr>
      <w:r>
        <w:t xml:space="preserve">Em </w:t>
      </w:r>
      <w:r>
        <w:rPr>
          <w:b/>
          <w:bCs/>
          <w:u w:val="single"/>
          <w:shd w:fill="CFE2F3" w:color="auto" w:val="clear"/>
        </w:rPr>
        <w:t xml:space="preserve">04/11/2024, ambas as contas foram encerradas unilateralmente pela ré</w:t>
      </w:r>
      <w:r>
        <w:t xml:space="preserve">, sem que os autores tivessem sido previamente comunicados e, sobretudo, </w:t>
      </w:r>
      <w:r>
        <w:rPr>
          <w:b/>
          <w:bCs/>
          <w:u w:val="single"/>
          <w:shd w:fill="CFE2F3" w:color="auto" w:val="clear"/>
        </w:rPr>
        <w:t xml:space="preserve">sem que lhes fosse oferecida qualquer forma de devolução dos saldos</w:t>
      </w:r>
      <w:r>
        <w:t xml:space="preserve"> que nelas se encontravam depositados. Desde então, os autores perderam o acesso aos aplicativos, aos extratos e aos valores que lhes pertencem.</w:t>
      </w:r>
    </w:p>
    <w:p>
      <w:pPr>
        <w:spacing w:after="60" w:line="360"/>
        <w:ind w:firstLine="850"/>
        <w:jc w:val="both"/>
      </w:pPr>
      <w:r>
        <w:t xml:space="preserve">Buscando resolver a questão de forma amigável, o autor entrou em contato com a ré por telefone em diversas oportunidades. Em todas elas, os atendentes limitaram-se a orientá-lo a aguardar o recebimento de um e-mail, que jamais trouxe solução: os saldos não foram restituídos, nem foi indicada data ou procedimento para sua liberação.</w:t>
      </w:r>
    </w:p>
    <w:p>
      <w:pPr>
        <w:spacing w:after="60" w:line="360"/>
        <w:ind w:firstLine="850"/>
        <w:jc w:val="both"/>
      </w:pPr>
      <w:r>
        <w:t xml:space="preserve">Diante da demora, o autor formalizou reclamação perante o </w:t>
      </w:r>
      <w:r>
        <w:rPr>
          <w:b/>
          <w:bCs/>
          <w:u w:val="single"/>
          <w:shd w:fill="CFE2F3" w:color="auto" w:val="clear"/>
        </w:rPr>
        <w:t xml:space="preserve">PROCON itinerante de Miguel Alves-PI</w:t>
      </w:r>
      <w:r>
        <w:t xml:space="preserve">. Em resposta, a ré apresentou justificativa vaga e genérica, invocando suposto direito de reter os saldos, sem indicar fato concreto, débito, ordem judicial ou procedimento investigatório que a autorizasse. Ressalte-se que </w:t>
      </w:r>
      <w:r>
        <w:rPr>
          <w:b/>
          <w:bCs/>
          <w:u w:val="single"/>
          <w:shd w:fill="CFE2F3" w:color="auto" w:val="clear"/>
        </w:rPr>
        <w:t xml:space="preserve">os autores não possuem nenhuma dívida junto à ré</w:t>
      </w:r>
      <w:r>
        <w:t xml:space="preserve">.</w:t>
      </w:r>
    </w:p>
    <w:p>
      <w:pPr>
        <w:spacing w:after="60" w:line="360"/>
        <w:ind w:firstLine="850"/>
        <w:jc w:val="both"/>
      </w:pPr>
      <w:r>
        <w:t xml:space="preserve">Em razão do tempo transcorrido e do bloqueio integral do acesso às contas, os autores não dispõem dos extratos e não conseguem precisar o montante retido, estimando que a soma dos saldos gire em torno de </w:t>
      </w:r>
      <w:r>
        <w:rPr>
          <w:b/>
          <w:bCs/>
          <w:u w:val="single"/>
          <w:shd w:fill="CFE2F3" w:color="auto" w:val="clear"/>
        </w:rPr>
        <w:t xml:space="preserve">R$ 3.500,00 (três mil e quinhentos reais)</w:t>
      </w:r>
      <w:r>
        <w:t xml:space="preserve">. Os registros que permitem apurar o valor exato estão exclusivamente em poder da ré.</w:t>
      </w:r>
    </w:p>
    <w:p>
      <w:pPr>
        <w:spacing w:after="60" w:line="360"/>
        <w:ind w:firstLine="850"/>
        <w:jc w:val="both"/>
      </w:pPr>
      <w:r>
        <w:t xml:space="preserve">Passados quase dois anos do encerramento, os valores continuam retidos, sem qualquer justificativa idônea, o que torna necessário o ajuizamento da presente ação.</w:t>
      </w:r>
    </w:p>
    <w:p>
      <w:pPr>
        <w:shd w:fill="123BB8" w:color="auto" w:val="clear"/>
        <w:tabs>
          <w:tab w:val="left" w:pos="1000"/>
        </w:tabs>
        <w:spacing w:after="240" w:before="360" w:line="360"/>
        <w:ind w:left="0"/>
      </w:pPr>
      <w:r>
        <w:rPr>
          <w:b/>
          <w:bCs/>
          <w:i/>
          <w:iCs/>
          <w:color w:val="FFFFFF"/>
        </w:rPr>
        <w:t xml:space="preserve">	Do direito.</w:t>
      </w:r>
    </w:p>
    <w:p>
      <w:pPr>
        <w:keepNext/>
        <w:tabs>
          <w:tab w:val="left" w:pos="700"/>
        </w:tabs>
        <w:spacing w:after="160" w:before="240" w:line="360"/>
        <w:ind w:left="700" w:hanging="400"/>
      </w:pPr>
      <w:r>
        <w:rPr>
          <w:b/>
          <w:bCs/>
          <w:i/>
          <w:iCs/>
        </w:rPr>
        <w:t xml:space="preserve">a.	</w:t>
      </w:r>
      <w:r>
        <w:rPr>
          <w:b/>
          <w:bCs/>
          <w:i/>
          <w:iCs/>
        </w:rPr>
        <w:t xml:space="preserve">Da relação de consumo e da inversão do ônus da prova:</w:t>
      </w:r>
    </w:p>
    <w:p>
      <w:pPr>
        <w:spacing w:after="60" w:line="360"/>
        <w:ind w:firstLine="850"/>
        <w:jc w:val="both"/>
      </w:pPr>
      <w:r>
        <w:t xml:space="preserve">A ré é instituição de pagamento que oferece serviços financeiros no mercado de consumo, enquadrando-se no conceito de fornecedora (art. 3º, § 2º, do CDC). Nos termos da </w:t>
      </w:r>
      <w:r>
        <w:rPr>
          <w:b/>
          <w:bCs/>
          <w:u w:val="single"/>
          <w:shd w:fill="CFE2F3" w:color="auto" w:val="clear"/>
        </w:rPr>
        <w:t xml:space="preserve">Súmula 297 do STJ</w:t>
      </w:r>
      <w:r>
        <w:t xml:space="preserve">, “o Código de Defesa do Consumidor é aplicável às instituições financeiras”.</w:t>
      </w:r>
    </w:p>
    <w:p>
      <w:pPr>
        <w:spacing w:after="60" w:line="360"/>
        <w:ind w:firstLine="850"/>
        <w:jc w:val="both"/>
      </w:pPr>
      <w:r>
        <w:t xml:space="preserve">O primeiro autor é destinatário final dos serviços contratados. Quanto à segunda autora, microempresa de pequeno porte titularizada por pessoa natural, incide a teoria finalista mitigada, consolidada no Superior Tribunal de Justiça, que admite a aplicação do CDC à pessoa jurídica que demonstra vulnerabilidade técnica, jurídica ou econômica frente ao fornecedor, situação evidente diante de uma das maiores instituições de pagamento do país, que detém com exclusividade os registros das contas e impõe unilateralmente as condições do serviço.</w:t>
      </w:r>
    </w:p>
    <w:p>
      <w:pPr>
        <w:spacing w:after="60" w:line="360"/>
        <w:ind w:firstLine="850"/>
        <w:jc w:val="both"/>
      </w:pPr>
      <w:r>
        <w:t xml:space="preserve">Presentes a verossimilhança das alegações e a hipossuficiência técnica dos autores, que não têm acesso aos extratos das próprias contas, impõe-se a </w:t>
      </w:r>
      <w:r>
        <w:rPr>
          <w:b/>
          <w:bCs/>
          <w:u w:val="single"/>
          <w:shd w:fill="CFE2F3" w:color="auto" w:val="clear"/>
        </w:rPr>
        <w:t xml:space="preserve">inversão do ônus da prova</w:t>
      </w:r>
      <w:r>
        <w:t xml:space="preserve"> (art. 6º, VIII, do CDC), cabendo à ré demonstrar os saldos existentes na data do encerramento, o motivo do encerramento, a comunicação prévia aos titulares e a destinação dada aos valores.</w:t>
      </w:r>
    </w:p>
    <w:p>
      <w:pPr>
        <w:keepNext/>
        <w:tabs>
          <w:tab w:val="left" w:pos="700"/>
        </w:tabs>
        <w:spacing w:after="160" w:before="240" w:line="360"/>
        <w:ind w:left="700" w:hanging="400"/>
      </w:pPr>
      <w:r>
        <w:rPr>
          <w:b/>
          <w:bCs/>
          <w:i/>
          <w:iCs/>
        </w:rPr>
        <w:t xml:space="preserve">b.	</w:t>
      </w:r>
      <w:r>
        <w:rPr>
          <w:b/>
          <w:bCs/>
          <w:i/>
          <w:iCs/>
        </w:rPr>
        <w:t xml:space="preserve">Da ilicitude da retenção dos saldos:</w:t>
      </w:r>
    </w:p>
    <w:p>
      <w:pPr>
        <w:spacing w:after="60" w:line="360"/>
        <w:ind w:firstLine="850"/>
        <w:jc w:val="both"/>
      </w:pPr>
      <w:r>
        <w:t xml:space="preserve">Ainda que se admita, em tese, a possibilidade de a instituição encerrar unilateralmente o relacionamento contratual, mediante prévia e adequada notificação, tal faculdade </w:t>
      </w:r>
      <w:r>
        <w:rPr>
          <w:b/>
          <w:bCs/>
          <w:u w:val="single"/>
          <w:shd w:fill="CFE2F3" w:color="auto" w:val="clear"/>
        </w:rPr>
        <w:t xml:space="preserve">não autoriza a apropriação dos recursos do cliente</w:t>
      </w:r>
      <w:r>
        <w:t xml:space="preserve">. Encerrada a conta, cabe à instituição colocar o saldo à disposição do titular, conforme a regulamentação do Conselho Monetário Nacional e do Banco Central do Brasil sobre encerramento de contas de depósito e de pagamento (Resolução CMN nº 4.753/2019 e Resolução BCB nº 96/2021).</w:t>
      </w:r>
    </w:p>
    <w:p>
      <w:pPr>
        <w:spacing w:after="60" w:line="360"/>
        <w:ind w:firstLine="850"/>
        <w:jc w:val="both"/>
      </w:pPr>
      <w:r>
        <w:t xml:space="preserve">Mais do que isso, a lei que disciplina as instituições de pagamento estabelece que os recursos mantidos em contas de pagamento pertencem aos usuários e </w:t>
      </w:r>
      <w:r>
        <w:rPr>
          <w:b/>
          <w:bCs/>
          <w:u w:val="single"/>
          <w:shd w:fill="CFE2F3" w:color="auto" w:val="clear"/>
        </w:rPr>
        <w:t xml:space="preserve">constituem patrimônio separado, que não se confunde com o da instituição de pagamento</w:t>
      </w:r>
      <w:r>
        <w:t xml:space="preserve">:</w:t>
      </w:r>
    </w:p>
    <w:p>
      <w:pPr>
        <w:pBdr>
          <w:top w:val="single" w:color="9AA0A6" w:sz="4" w:space="6"/>
          <w:bottom w:val="single" w:color="9AA0A6" w:sz="4" w:space="6"/>
        </w:pBdr>
        <w:spacing w:after="200" w:before="160" w:line="240"/>
        <w:ind w:left="2270" w:right="570"/>
        <w:jc w:val="both"/>
      </w:pPr>
      <w:r>
        <w:rPr>
          <w:i/>
          <w:iCs/>
          <w:sz w:val="18"/>
          <w:szCs w:val="18"/>
        </w:rPr>
        <w:t xml:space="preserve">Art. 12. Os recursos mantidos em contas de pagamento: I - constituem patrimônio separado, que não se confunde com o da instituição de pagamento; II - não respondem direta ou indiretamente por nenhuma obrigação da instituição de pagamento nem podem ser objeto de arresto, sequestro, busca e apreensão ou qualquer outro ato de constrição judicial em função de débitos de responsabilidade da instituição de pagamento; [...] (Lei nº 12.865/2013)</w:t>
      </w:r>
    </w:p>
    <w:p>
      <w:pPr>
        <w:spacing w:after="60" w:line="360"/>
        <w:ind w:firstLine="850"/>
        <w:jc w:val="both"/>
      </w:pPr>
      <w:r>
        <w:t xml:space="preserve">A ré, portanto, não tem título algum para reter os valores. Não há débito dos autores, ordem judicial de bloqueio, nem procedimento administrativo comunicado aos titulares. A justificativa genérica apresentada no PROCON não supre o dever de informação clara e adequada (art. 6º, III, do CDC), e a retenção de saldo por prazo indefinido configura vantagem manifestamente excessiva e prática abusiva (arts. 39, V, e 51, IV, do CDC), além de </w:t>
      </w:r>
      <w:r>
        <w:rPr>
          <w:b/>
          <w:bCs/>
          <w:u w:val="single"/>
          <w:shd w:fill="CFE2F3" w:color="auto" w:val="clear"/>
        </w:rPr>
        <w:t xml:space="preserve">enriquecimento sem causa</w:t>
      </w:r>
      <w:r>
        <w:t xml:space="preserve"> (art. 884 do Código Civil).</w:t>
      </w:r>
    </w:p>
    <w:p>
      <w:pPr>
        <w:spacing w:after="60" w:line="360"/>
        <w:ind w:firstLine="850"/>
        <w:jc w:val="both"/>
      </w:pPr>
      <w:r>
        <w:t xml:space="preserve">Eventual alegação de “análise de segurança” ou de suspeita de irregularidade, além de não ter sido comunicada de forma concreta aos autores, não se sustenta após quase dois anos: medida preventiva dessa natureza é, por definição, provisória e deve ser concluída em prazo razoável, com a devolução dos valores ou com a demonstração objetiva de sua origem ilícita, o que jamais ocorreu.</w:t>
      </w:r>
    </w:p>
    <w:p>
      <w:pPr>
        <w:spacing w:after="60" w:line="360"/>
        <w:ind w:firstLine="850"/>
        <w:jc w:val="both"/>
      </w:pPr>
      <w:r>
        <w:t xml:space="preserve">Trata-se de falha na prestação do serviço, pela qual a ré responde objetivamente (art. 14 do CDC). Mesmo que afastada a incidência do diploma consumerista em relação à segunda autora, a conclusão seria a mesma, pois a retenção de valores alheios sem causa jurídica configura ato ilícito e enriquecimento sem causa, nos termos dos arts. 186, 884 e 927 do Código Civil.</w:t>
      </w:r>
    </w:p>
    <w:p>
      <w:pPr>
        <w:spacing w:after="60" w:line="360"/>
        <w:ind w:firstLine="850"/>
        <w:jc w:val="both"/>
      </w:pPr>
      <w:r>
        <w:t xml:space="preserve">[Inserir ementa de precedente do TJPI ou das Turmas Recursais do Piauí sobre retenção de saldo após encerramento unilateral de conta pelo PagBank/PagSeguro.]</w:t>
      </w:r>
    </w:p>
    <w:p>
      <w:pPr>
        <w:keepNext/>
        <w:tabs>
          <w:tab w:val="left" w:pos="700"/>
        </w:tabs>
        <w:spacing w:after="160" w:before="240" w:line="360"/>
        <w:ind w:left="700" w:hanging="400"/>
      </w:pPr>
      <w:r>
        <w:rPr>
          <w:b/>
          <w:bCs/>
          <w:i/>
          <w:iCs/>
        </w:rPr>
        <w:t xml:space="preserve">c.	</w:t>
      </w:r>
      <w:r>
        <w:rPr>
          <w:b/>
          <w:bCs/>
          <w:i/>
          <w:iCs/>
        </w:rPr>
        <w:t xml:space="preserve">Da restituição dos saldos e da exibição dos extratos:</w:t>
      </w:r>
    </w:p>
    <w:p>
      <w:pPr>
        <w:spacing w:after="60" w:line="360"/>
        <w:ind w:firstLine="850"/>
        <w:jc w:val="both"/>
      </w:pPr>
      <w:r>
        <w:t xml:space="preserve">Os autores têm direito à restituição integral dos saldos existentes em ambas as contas na data do encerramento, com correção monetária desde 04/11/2024 e juros de mora desde a citação (arts. 389, 405 e 406 do Código Civil, na redação da Lei nº 14.905/2024).</w:t>
      </w:r>
    </w:p>
    <w:p>
      <w:pPr>
        <w:spacing w:after="60" w:line="360"/>
        <w:ind w:firstLine="850"/>
        <w:jc w:val="both"/>
      </w:pPr>
      <w:r>
        <w:t xml:space="preserve">Como o valor exato depende de documentos que estão exclusivamente em poder da ré, o pedido é formulado de forma genérica quanto ao montante, o que é expressamente admitido quando não for possível determinar, desde logo, a extensão da obrigação (art. 14, § 2º, da Lei nº 9.099/1995 e art. 324, § 1º, III, do CPC), indicando-se como estimativa o valor de R$ 3.500,00.</w:t>
      </w:r>
    </w:p>
    <w:p>
      <w:pPr>
        <w:spacing w:after="60" w:line="360"/>
        <w:ind w:firstLine="850"/>
        <w:jc w:val="both"/>
      </w:pPr>
      <w:r>
        <w:t xml:space="preserve">Requer-se, ainda, que a ré seja compelida a exibir os extratos completos das duas contas, desde a abertura até o encerramento, bem como os documentos relativos ao encerramento (arts. 396 e 399, I e III, do CPC). Em caso de recusa ou omissão, deverão ser admitidos como verdadeiros os fatos que os autores pretendem provar, prevalecendo o valor estimado na inicial (art. 400 do CPC).</w:t>
      </w:r>
    </w:p>
    <w:p>
      <w:pPr>
        <w:keepNext/>
        <w:tabs>
          <w:tab w:val="left" w:pos="700"/>
        </w:tabs>
        <w:spacing w:after="160" w:before="240" w:line="360"/>
        <w:ind w:left="700" w:hanging="400"/>
      </w:pPr>
      <w:r>
        <w:rPr>
          <w:b/>
          <w:bCs/>
          <w:i/>
          <w:iCs/>
        </w:rPr>
        <w:t xml:space="preserve">d.	</w:t>
      </w:r>
      <w:r>
        <w:rPr>
          <w:b/>
          <w:bCs/>
          <w:i/>
          <w:iCs/>
        </w:rPr>
        <w:t xml:space="preserve">Dos danos morais:</w:t>
      </w:r>
    </w:p>
    <w:p>
      <w:pPr>
        <w:spacing w:after="60" w:line="360"/>
        <w:ind w:firstLine="850"/>
        <w:jc w:val="both"/>
      </w:pPr>
      <w:r>
        <w:t xml:space="preserve">A retenção indevida dos saldos ultrapassa o mero aborrecimento cotidiano. O primeiro autor, comerciante, foi privado de recursos próprios por quase dois anos, sem informação clara sobre seu destino, e foi obrigado a percorrer o atendimento telefônico da ré, aguardar respostas que nunca vieram e recorrer ao PROCON, sem êxito. A situação caracteriza o </w:t>
      </w:r>
      <w:r>
        <w:rPr>
          <w:b/>
          <w:bCs/>
          <w:u w:val="single"/>
          <w:shd w:fill="CFE2F3" w:color="auto" w:val="clear"/>
        </w:rPr>
        <w:t xml:space="preserve">desvio produtivo do consumidor</w:t>
      </w:r>
      <w:r>
        <w:t xml:space="preserve">: a perda de tempo útil para resolver problema criado exclusivamente pelo fornecedor.</w:t>
      </w:r>
    </w:p>
    <w:p>
      <w:pPr>
        <w:spacing w:after="60" w:line="360"/>
        <w:ind w:firstLine="850"/>
        <w:jc w:val="both"/>
      </w:pPr>
      <w:r>
        <w:t xml:space="preserve">Quanto à segunda autora, a pessoa jurídica pode sofrer dano moral (</w:t>
      </w:r>
      <w:r>
        <w:rPr>
          <w:b/>
          <w:bCs/>
          <w:u w:val="single"/>
          <w:shd w:fill="CFE2F3" w:color="auto" w:val="clear"/>
        </w:rPr>
        <w:t xml:space="preserve">Súmula 227 do STJ</w:t>
      </w:r>
      <w:r>
        <w:t xml:space="preserve">). O bloqueio súbito da conta empresarial, por meio da qual eram movimentadas as receitas do estabelecimento, comprometeu a organização financeira do negócio e afetou sua credibilidade perante clientes e fornecedores, configurando ofensa à sua honra objetiva.</w:t>
      </w:r>
    </w:p>
    <w:p>
      <w:pPr>
        <w:spacing w:after="60" w:line="360"/>
        <w:ind w:firstLine="850"/>
        <w:jc w:val="both"/>
      </w:pPr>
      <w:r>
        <w:t xml:space="preserve">Considerando a conduta da ré, a duração da retenção, a recusa injustificada em resolver o problema na via administrativa, a capacidade econômica das partes e o caráter pedagógico da condenação, mostra-se razoável a fixação da indenização em </w:t>
      </w:r>
      <w:r>
        <w:rPr>
          <w:b/>
          <w:bCs/>
          <w:u w:val="single"/>
          <w:shd w:fill="CFE2F3" w:color="auto" w:val="clear"/>
        </w:rPr>
        <w:t xml:space="preserve">R$ 5.000,00 (cinco mil reais) para cada autor</w:t>
      </w:r>
      <w:r>
        <w:t xml:space="preserve">.</w:t>
      </w:r>
    </w:p>
    <w:p>
      <w:pPr>
        <w:shd w:fill="123BB8" w:color="auto" w:val="clear"/>
        <w:tabs>
          <w:tab w:val="left" w:pos="1000"/>
        </w:tabs>
        <w:spacing w:after="240" w:before="360" w:line="360"/>
        <w:ind w:left="0"/>
      </w:pPr>
      <w:r>
        <w:rPr>
          <w:b/>
          <w:bCs/>
          <w:i/>
          <w:iCs/>
          <w:color w:val="FFFFFF"/>
        </w:rPr>
        <w:t xml:space="preserve">	Da tutela de urgência.</w:t>
      </w:r>
    </w:p>
    <w:p>
      <w:pPr>
        <w:spacing w:after="60" w:line="360"/>
        <w:ind w:firstLine="850"/>
        <w:jc w:val="both"/>
      </w:pPr>
      <w:r>
        <w:t xml:space="preserve">Estão presentes os requisitos do art. 300 do CPC. A probabilidade do direito decorre da própria natureza dos valores, que pertencem aos autores e constituem patrimônio separado do da ré (art. 12 da Lei nº 12.865/2013), da inexistência de qualquer débito e da ausência de justificativa concreta para a retenção, conforme se extrai da resposta apresentada ao PROCON.</w:t>
      </w:r>
    </w:p>
    <w:p>
      <w:pPr>
        <w:spacing w:after="60" w:line="360"/>
        <w:ind w:firstLine="850"/>
        <w:jc w:val="both"/>
      </w:pPr>
      <w:r>
        <w:t xml:space="preserve">O perigo de dano está na privação continuada de recursos de pequeno comerciante, que já perdura por quase dois anos, e no risco de que os registros das contas encerradas deixem de ser preservados, comprometendo a apuração do valor devido. A medida, ademais, é plenamente reversível (art. 300, § 3º, do CPC).</w:t>
      </w:r>
    </w:p>
    <w:p>
      <w:pPr>
        <w:spacing w:after="60" w:line="360"/>
        <w:ind w:firstLine="850"/>
        <w:jc w:val="both"/>
      </w:pPr>
      <w:r>
        <w:t xml:space="preserve">Requer-se, assim, a concessão de tutela de urgência para determinar que a ré, no prazo de 5 (cinco) dias: (i) apresente nos autos os extratos completos das duas contas e informe o saldo existente em cada uma na data do encerramento; e (ii) deposite judicialmente os valores apurados ou os transfira para conta indicada pelos autores, sob pena de multa diária a ser fixada por Vossa Excelência.</w:t>
      </w:r>
    </w:p>
    <w:p>
      <w:pPr>
        <w:shd w:fill="123BB8" w:color="auto" w:val="clear"/>
        <w:tabs>
          <w:tab w:val="left" w:pos="1000"/>
        </w:tabs>
        <w:spacing w:after="240" w:before="360" w:line="360"/>
        <w:ind w:left="0"/>
      </w:pPr>
      <w:r>
        <w:rPr>
          <w:b/>
          <w:bCs/>
          <w:i/>
          <w:iCs/>
          <w:color w:val="FFFFFF"/>
        </w:rPr>
        <w:t xml:space="preserve">	Dos pedidos.</w:t>
      </w:r>
    </w:p>
    <w:p>
      <w:pPr>
        <w:spacing w:after="60" w:line="360"/>
        <w:ind w:firstLine="0"/>
        <w:jc w:val="both"/>
      </w:pPr>
      <w:r>
        <w:t xml:space="preserve">Ante o exposto, requerem a Vossa Excelência:</w:t>
      </w:r>
    </w:p>
    <w:p>
      <w:pPr>
        <w:tabs>
          <w:tab w:val="left" w:pos="1000"/>
        </w:tabs>
        <w:spacing w:after="60" w:line="360"/>
        <w:ind w:left="1000" w:hanging="400"/>
        <w:jc w:val="both"/>
      </w:pPr>
      <w:r>
        <w:t xml:space="preserve">A.	</w:t>
      </w:r>
      <w:r>
        <w:t xml:space="preserve">a concessão da tutela de urgência, para determinar que a ré, no prazo de 5 (cinco) dias, apresente os extratos completos das contas de pessoa física e de pessoa jurídica dos autores, informe o saldo existente em cada uma em 04/11/2024 e deposite judicialmente os valores apurados, ou os transfira para conta indicada pelos autores, sob pena de multa diária;</w:t>
      </w:r>
    </w:p>
    <w:p>
      <w:pPr>
        <w:tabs>
          <w:tab w:val="left" w:pos="1000"/>
        </w:tabs>
        <w:spacing w:after="60" w:line="360"/>
        <w:ind w:left="1000" w:hanging="400"/>
        <w:jc w:val="both"/>
      </w:pPr>
      <w:r>
        <w:t xml:space="preserve">B.	</w:t>
      </w:r>
      <w:r>
        <w:t xml:space="preserve">a citação da ré, por via postal com aviso de recebimento ou por meio eletrônico, para comparecer à audiência de conciliação, preferencialmente por videoconferência (art. 22, § 2º, da Lei nº 9.099/1995), e, querendo, apresentar defesa, sob pena de revelia;</w:t>
      </w:r>
    </w:p>
    <w:p>
      <w:pPr>
        <w:tabs>
          <w:tab w:val="left" w:pos="1000"/>
        </w:tabs>
        <w:spacing w:after="60" w:line="360"/>
        <w:ind w:left="1000" w:hanging="400"/>
        <w:jc w:val="both"/>
      </w:pPr>
      <w:r>
        <w:t xml:space="preserve">C.	</w:t>
      </w:r>
      <w:r>
        <w:t xml:space="preserve">a aplicação do Código de Defesa do Consumidor e a inversão do ônus da prova (art. 6º, VIII, do CDC);</w:t>
      </w:r>
    </w:p>
    <w:p>
      <w:pPr>
        <w:tabs>
          <w:tab w:val="left" w:pos="1000"/>
        </w:tabs>
        <w:spacing w:after="60" w:line="360"/>
        <w:ind w:left="1000" w:hanging="400"/>
        <w:jc w:val="both"/>
      </w:pPr>
      <w:r>
        <w:t xml:space="preserve">D.	</w:t>
      </w:r>
      <w:r>
        <w:t xml:space="preserve">a intimação da ré para exibir os extratos completos das duas contas, desde a abertura até o encerramento, e os documentos relativos ao encerramento, sob as penas do art. 400 do CPC;</w:t>
      </w:r>
    </w:p>
    <w:p>
      <w:pPr>
        <w:tabs>
          <w:tab w:val="left" w:pos="1000"/>
        </w:tabs>
        <w:spacing w:after="60" w:line="360"/>
        <w:ind w:left="1000" w:hanging="400"/>
        <w:jc w:val="both"/>
      </w:pPr>
      <w:r>
        <w:t xml:space="preserve">E.	</w:t>
      </w:r>
      <w:r>
        <w:t xml:space="preserve">no mérito, a confirmação da tutela de urgência e a condenação da ré a restituir aos autores a integralidade dos saldos existentes nas contas na data do encerramento, em valor a ser apurado com base nos extratos e estimado em R$ 3.500,00 (três mil e quinhentos reais), com correção monetária desde 04/11/2024 e juros de mora desde a citação;</w:t>
      </w:r>
    </w:p>
    <w:p>
      <w:pPr>
        <w:tabs>
          <w:tab w:val="left" w:pos="1000"/>
        </w:tabs>
        <w:spacing w:after="60" w:line="360"/>
        <w:ind w:left="1000" w:hanging="400"/>
        <w:jc w:val="both"/>
      </w:pPr>
      <w:r>
        <w:t xml:space="preserve">F.	</w:t>
      </w:r>
      <w:r>
        <w:t xml:space="preserve">a condenação da ré ao pagamento de indenização por danos morais no valor de R$ 5.000,00 (cinco mil reais) ao primeiro autor e de R$ 5.000,00 (cinco mil reais) à segunda autora, com correção monetária desde o arbitramento (Súmula 362 do STJ) e juros de mora desde a citação;</w:t>
      </w:r>
    </w:p>
    <w:p>
      <w:pPr>
        <w:tabs>
          <w:tab w:val="left" w:pos="1000"/>
        </w:tabs>
        <w:spacing w:after="60" w:line="360"/>
        <w:ind w:left="1000" w:hanging="400"/>
        <w:jc w:val="both"/>
      </w:pPr>
      <w:r>
        <w:t xml:space="preserve">G.	</w:t>
      </w:r>
      <w:r>
        <w:t xml:space="preserve">em caso de recurso, a condenação da ré ao pagamento de custas e honorários advocatícios, nos termos do art. 55 da Lei nº 9.099/1995.</w:t>
      </w:r>
    </w:p>
    <w:p>
      <w:pPr>
        <w:spacing w:after="60" w:line="360"/>
        <w:ind w:firstLine="850"/>
        <w:jc w:val="both"/>
      </w:pPr>
      <w:r>
        <w:t xml:space="preserve">Protestam os autores pela produção de todos os meios de prova admitidos em direito, em especial a prova documental acostada a esta inicial, a exibição de documentos acima requerida e o depoimento pessoal do representante da ré.</w:t>
      </w:r>
    </w:p>
    <w:p>
      <w:pPr>
        <w:spacing w:after="60" w:line="360"/>
        <w:ind w:firstLine="850"/>
        <w:jc w:val="both"/>
      </w:pPr>
      <w:r>
        <w:t xml:space="preserve">Dá-se à causa o valor de </w:t>
      </w:r>
      <w:r>
        <w:rPr>
          <w:b/>
          <w:bCs/>
          <w:u w:val="single"/>
          <w:shd w:fill="CFE2F3" w:color="auto" w:val="clear"/>
        </w:rPr>
        <w:t xml:space="preserve">R$ 13.500,00 (treze mil e quinhentos reais)</w:t>
      </w:r>
      <w:r>
        <w:t xml:space="preserve">, correspondente à soma do valor estimado dos saldos e das indenizações pretendidas (art. 292, VI, do CPC).</w:t>
      </w:r>
    </w:p>
    <w:p>
      <w:pPr>
        <w:spacing w:after="60" w:line="360"/>
        <w:ind w:firstLine="0"/>
        <w:jc w:val="both"/>
      </w:pPr>
      <w:r>
        <w:t xml:space="preserve">Rol de documentos:</w:t>
      </w:r>
    </w:p>
    <w:p>
      <w:pPr>
        <w:spacing w:after="0" w:line="300"/>
        <w:ind w:left="850"/>
      </w:pPr>
      <w:r>
        <w:rPr>
          <w:b/>
          <w:bCs/>
          <w:sz w:val="22"/>
          <w:szCs w:val="22"/>
          <w:shd w:fill="FFF200" w:color="auto" w:val="clear"/>
        </w:rPr>
        <w:t xml:space="preserve">[Doc. 01 – Procurações (pessoa física e pessoa jurídica);]</w:t>
      </w:r>
    </w:p>
    <w:p>
      <w:pPr>
        <w:spacing w:after="0" w:line="300"/>
        <w:ind w:left="850"/>
      </w:pPr>
      <w:r>
        <w:rPr>
          <w:b/>
          <w:bCs/>
          <w:sz w:val="22"/>
          <w:szCs w:val="22"/>
          <w:shd w:fill="FFF200" w:color="auto" w:val="clear"/>
        </w:rPr>
        <w:t xml:space="preserve">[Doc. 02 – Documento de identidade e CPF do autor;]</w:t>
      </w:r>
    </w:p>
    <w:p>
      <w:pPr>
        <w:spacing w:after="0" w:line="300"/>
        <w:ind w:left="850"/>
      </w:pPr>
      <w:r>
        <w:rPr>
          <w:b/>
          <w:bCs/>
          <w:sz w:val="22"/>
          <w:szCs w:val="22"/>
          <w:shd w:fill="FFF200" w:color="auto" w:val="clear"/>
        </w:rPr>
        <w:t xml:space="preserve">[Doc. 03 – Comprovante de residência;]</w:t>
      </w:r>
    </w:p>
    <w:p>
      <w:pPr>
        <w:spacing w:after="0" w:line="300"/>
        <w:ind w:left="850"/>
      </w:pPr>
      <w:r>
        <w:rPr>
          <w:b/>
          <w:bCs/>
          <w:sz w:val="22"/>
          <w:szCs w:val="22"/>
          <w:shd w:fill="FFF200" w:color="auto" w:val="clear"/>
        </w:rPr>
        <w:t xml:space="preserve">[Doc. 04 – Comprovante de inscrição no CNPJ e requerimento de empresário;]</w:t>
      </w:r>
    </w:p>
    <w:p>
      <w:pPr>
        <w:spacing w:after="0" w:line="300"/>
        <w:ind w:left="850"/>
      </w:pPr>
      <w:r>
        <w:rPr>
          <w:b/>
          <w:bCs/>
          <w:sz w:val="22"/>
          <w:szCs w:val="22"/>
          <w:shd w:fill="FFF200" w:color="auto" w:val="clear"/>
        </w:rPr>
        <w:t xml:space="preserve">[Doc. 05 – Comprovantes de titularidade das contas no PagBank (prints, cartões, comprovantes de transações);]</w:t>
      </w:r>
    </w:p>
    <w:p>
      <w:pPr>
        <w:spacing w:after="0" w:line="300"/>
        <w:ind w:left="850"/>
      </w:pPr>
      <w:r>
        <w:rPr>
          <w:b/>
          <w:bCs/>
          <w:sz w:val="22"/>
          <w:szCs w:val="22"/>
          <w:shd w:fill="FFF200" w:color="auto" w:val="clear"/>
        </w:rPr>
        <w:t xml:space="preserve">[Doc. 06 – Registros do encerramento das contas e e-mails recebidos da ré;]</w:t>
      </w:r>
    </w:p>
    <w:p>
      <w:pPr>
        <w:spacing w:after="0" w:line="300"/>
        <w:ind w:left="850"/>
      </w:pPr>
      <w:r>
        <w:rPr>
          <w:b/>
          <w:bCs/>
          <w:sz w:val="22"/>
          <w:szCs w:val="22"/>
          <w:shd w:fill="FFF200" w:color="auto" w:val="clear"/>
        </w:rPr>
        <w:t xml:space="preserve">[Doc. 07 – Protocolos dos atendimentos telefônicos;]</w:t>
      </w:r>
    </w:p>
    <w:p>
      <w:pPr>
        <w:spacing w:after="0" w:line="300"/>
        <w:ind w:left="850"/>
      </w:pPr>
      <w:r>
        <w:rPr>
          <w:b/>
          <w:bCs/>
          <w:sz w:val="22"/>
          <w:szCs w:val="22"/>
          <w:shd w:fill="FFF200" w:color="auto" w:val="clear"/>
        </w:rPr>
        <w:t xml:space="preserve">[Doc. 08 – Reclamação no PROCON itinerante de Miguel Alves-PI e resposta da ré.]</w:t>
      </w:r>
    </w:p>
    <w:p>
      <w:pPr>
        <w:spacing w:after="0"/>
      </w:pPr>
    </w:p>
    <w:p>
      <w:pPr>
        <w:spacing w:after="0" w:line="360"/>
        <w:jc w:val="center"/>
      </w:pPr>
      <w:r>
        <w:t xml:space="preserve">Nestes termos,</w:t>
      </w:r>
    </w:p>
    <w:p>
      <w:pPr>
        <w:spacing w:after="0" w:line="360"/>
        <w:jc w:val="center"/>
      </w:pPr>
      <w:r>
        <w:t xml:space="preserve">Pede deferimento.</w:t>
      </w:r>
    </w:p>
    <w:p>
      <w:pPr>
        <w:spacing w:after="0"/>
      </w:pPr>
    </w:p>
    <w:p>
      <w:pPr>
        <w:spacing w:after="0" w:line="360"/>
        <w:jc w:val="center"/>
      </w:pPr>
      <w:r>
        <w:t xml:space="preserve">Miguel Alves-PI, datado eletronicamente.</w:t>
      </w:r>
    </w:p>
    <w:p>
      <w:pPr>
        <w:spacing w:after="0"/>
      </w:pPr>
    </w:p>
    <w:p>
      <w:pPr>
        <w:spacing w:after="0" w:line="360"/>
        <w:jc w:val="center"/>
      </w:pPr>
      <w:r>
        <w:rPr>
          <w:b/>
          <w:bCs/>
        </w:rPr>
        <w:t xml:space="preserve">ANTÔNIO DE PÁDUA SANTOS NETO</w:t>
      </w:r>
    </w:p>
    <w:p>
      <w:pPr>
        <w:spacing w:after="0" w:line="360"/>
        <w:jc w:val="center"/>
      </w:pPr>
      <w:r>
        <w:rPr>
          <w:b/>
          <w:bCs/>
        </w:rPr>
        <w:t xml:space="preserve">ADVOGADO - OAB/PI 21.320</w:t>
      </w:r>
    </w:p>
    <w:sectPr>
      <w:headerReference w:type="default" r:id="rId7"/>
      <w:footerReference w:type="default" r:id="rId8"/>
      <w:pgSz w:w="11906" w:h="16838" w:orient="portrait"/>
      <w:pgMar w:top="2330" w:right="1134" w:bottom="1500" w:left="1134" w:header="500"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9AA0A6" w:sz="6" w:space="4"/>
      </w:pBdr>
      <w:spacing w:line="240"/>
      <w:jc w:val="center"/>
    </w:pPr>
    <w:r>
      <w:rPr>
        <w:b/>
        <w:bCs/>
        <w:i/>
        <w:iCs/>
        <w:color w:val="123BB8"/>
        <w:sz w:val="16"/>
        <w:szCs w:val="16"/>
      </w:rPr>
      <w:t xml:space="preserve">Rua Rio Grande do Sul, 1641, bairro São Miguel, CEP: 64.130-000, Miguel Alves-PI - (86) 9 7400-9869 - paduanetojus@gmail.com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drawing>
        <wp:inline distT="0" distB="0" distL="0" distR="0">
          <wp:extent cx="1809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952500"/>
                  </a:xfrm>
                  <a:prstGeom prst="rect">
                    <a:avLst/>
                  </a:prstGeom>
                </pic:spPr>
              </pic:pic>
            </a:graphicData>
          </a:graphic>
        </wp:inline>
      </w:drawing>
    </w:r>
  </w:p>
  <w:p>
    <w:pPr>
      <w:pBdr>
        <w:bottom w:val="single" w:color="9AA0A6" w:sz="6" w:space="1"/>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ora" w:cs="Lora" w:eastAsia="Lora" w:hAnsi="Lor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2a26ce5428c3d3d8b74c564df80a7d487fd53a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Antônio de Pádua Santos Neto</dc:creator>
  <cp:lastModifiedBy>Un-named</cp:lastModifiedBy>
  <cp:revision>1</cp:revision>
  <dcterms:created xsi:type="dcterms:W3CDTF">2026-10-03T02:33:01.698Z</dcterms:created>
  <dcterms:modified xsi:type="dcterms:W3CDTF">2026-10-03T02:33:01.705Z</dcterms:modified>
</cp:coreProperties>
</file>

<file path=docProps/custom.xml><?xml version="1.0" encoding="utf-8"?>
<Properties xmlns="http://schemas.openxmlformats.org/officeDocument/2006/custom-properties" xmlns:vt="http://schemas.openxmlformats.org/officeDocument/2006/docPropsVTypes"/>
</file>