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hd w:fill="123bb8" w:val="clear"/>
        <w:tabs>
          <w:tab w:val="left" w:leader="none" w:pos="1000"/>
        </w:tabs>
        <w:spacing w:after="0" w:before="0" w:line="240" w:lineRule="auto"/>
        <w:ind w:left="0" w:firstLine="0"/>
      </w:pPr>
      <w:r>
        <w:rPr>
          <w:rFonts w:ascii="Lora" w:cs="Lora" w:eastAsia="Lora" w:hAnsi="Lora"/>
          <w:b w:val="1"/>
          <w:bCs w:val="1"/>
          <w:i w:val="1"/>
          <w:iCs w:val="1"/>
          <w:color w:val="ffffff"/>
        </w:rPr>
        <w:tab/>
        <w:t xml:space="preserve">Preliminares.</w:t>
      </w:r>
    </w:p>
    <w:p>
      <w:pPr>
        <w:keepNext w:val="1"/>
        <w:tabs>
          <w:tab w:val="left" w:leader="none" w:pos="700"/>
        </w:tabs>
        <w:spacing w:after="160" w:before="240" w:line="360" w:lineRule="auto"/>
        <w:ind w:left="700" w:hanging="400"/>
      </w:pPr>
      <w:r>
        <w:rPr>
          <w:rFonts w:ascii="Lora" w:cs="Lora" w:eastAsia="Lora" w:hAnsi="Lora"/>
          <w:b w:val="1"/>
          <w:bCs w:val="1"/>
          <w:i w:val="1"/>
          <w:iCs w:val="1"/>
        </w:rPr>
        <w:t xml:space="preserve">a.</w:t>
        <w:tab/>
        <w:t xml:space="preserve">Da justiça gratuita:</w:t>
      </w:r>
    </w:p>
    <w:p>
      <w:pPr>
        <w:spacing w:after="60" w:line="360" w:lineRule="auto"/>
        <w:ind w:firstLine="850"/>
        <w:jc w:val="both"/>
      </w:pPr>
      <w:r>
        <w:rPr>
          <w:rFonts w:ascii="Lora Medium" w:cs="Lora Medium" w:eastAsia="Lora Medium" w:hAnsi="Lora Medium"/>
        </w:rPr>
        <w:t xml:space="preserve">O requerente solicita que sejam concedidos os benefícios da </w:t>
      </w:r>
      <w:r>
        <w:rPr>
          <w:rFonts w:ascii="Lora" w:cs="Lora" w:eastAsia="Lora" w:hAnsi="Lora"/>
          <w:b w:val="1"/>
          <w:bCs w:val="1"/>
        </w:rPr>
        <w:t xml:space="preserve">gratuidade da justiça</w:t>
      </w:r>
      <w:r>
        <w:rPr>
          <w:rFonts w:ascii="Lora Medium" w:cs="Lora Medium" w:eastAsia="Lora Medium" w:hAnsi="Lora Medium"/>
        </w:rPr>
        <w:t xml:space="preserve">, nos termos do art. 98 e seguintes do Código de Processo Civil, combinado com a Lei nº 1.060/50, uma vez que não possui condições de arcar com as despesas processuais sem prejuízo do seu sustento e de sua família, por ser hipossuficiente economicamente.</w:t>
      </w:r>
    </w:p>
    <w:p>
      <w:pPr>
        <w:spacing w:after="60" w:line="360" w:lineRule="auto"/>
        <w:ind w:firstLine="850"/>
        <w:jc w:val="both"/>
      </w:pPr>
      <w:r>
        <w:rPr>
          <w:rFonts w:ascii="Lora Medium" w:cs="Lora Medium" w:eastAsia="Lora Medium" w:hAnsi="Lora Medium"/>
        </w:rPr>
        <w:t xml:space="preserve">Solicita, ainda, que o benefício abranja </w:t>
      </w:r>
      <w:r>
        <w:rPr>
          <w:rFonts w:ascii="Lora" w:cs="Lora" w:eastAsia="Lora" w:hAnsi="Lora"/>
          <w:b w:val="1"/>
          <w:bCs w:val="1"/>
        </w:rPr>
        <w:t xml:space="preserve">todos os atos do processo</w:t>
      </w:r>
      <w:r>
        <w:rPr>
          <w:rFonts w:ascii="Lora Medium" w:cs="Lora Medium" w:eastAsia="Lora Medium" w:hAnsi="Lora Medium"/>
        </w:rPr>
        <w:t xml:space="preserve">.</w:t>
      </w:r>
    </w:p>
    <w:p>
      <w:pPr>
        <w:spacing w:after="60" w:line="360" w:lineRule="auto"/>
        <w:ind w:firstLine="850"/>
        <w:jc w:val="both"/>
      </w:pPr>
      <w:r>
        <w:rPr>
          <w:rFonts w:ascii="Lora Medium" w:cs="Lora Medium" w:eastAsia="Lora Medium" w:hAnsi="Lora Medium"/>
        </w:rPr>
        <w:t xml:space="preserve">Para tanto, na análise das provas da situação financeira, constata-se que o autor está em </w:t>
      </w:r>
      <w:r>
        <w:rPr>
          <w:rFonts w:ascii="Lora" w:cs="Lora" w:eastAsia="Lora" w:hAnsi="Lora"/>
          <w:b w:val="1"/>
          <w:bCs w:val="1"/>
        </w:rPr>
        <w:t xml:space="preserve">situação de superendividamento</w:t>
      </w:r>
      <w:r>
        <w:rPr>
          <w:rFonts w:ascii="Lora Medium" w:cs="Lora Medium" w:eastAsia="Lora Medium" w:hAnsi="Lora Medium"/>
        </w:rPr>
        <w:t xml:space="preserve">, de modo que </w:t>
      </w:r>
      <w:r>
        <w:rPr>
          <w:rFonts w:ascii="Lora" w:cs="Lora" w:eastAsia="Lora" w:hAnsi="Lora"/>
          <w:b w:val="1"/>
          <w:bCs w:val="1"/>
        </w:rPr>
        <w:t xml:space="preserve">as dívidas superam a remuneração percebida</w:t>
      </w:r>
      <w:r>
        <w:rPr>
          <w:rFonts w:ascii="Lora Medium" w:cs="Lora Medium" w:eastAsia="Lora Medium" w:hAnsi="Lora Medium"/>
        </w:rPr>
        <w:t xml:space="preserve">. A própria natureza da presente ação, com pedido de repactuação de dívidas, torna evidente a hipossuficiência do autor. Nesse sentido:</w:t>
      </w:r>
    </w:p>
    <w:p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</w:pPr>
      <w:r>
        <w:rPr>
          <w:rFonts w:ascii="Lora Medium" w:cs="Lora Medium" w:eastAsia="Lora Medium" w:hAnsi="Lora Medium"/>
          <w:sz w:val="18"/>
          <w:szCs w:val="18"/>
        </w:rPr>
        <w:t xml:space="preserve">“AGRAVO DE INSTRUMENTO. JUSTIÇA GRATUITA. PESSOA NATURAL. PROVA SUFICIENTE. SUPERENDIVIDAMENTO. Recurso interposto contra decisão que indeferiu a gratuidade da justiça, no processamento da petição inicial. Na forma do artigo 98 do Código de Processo Civil, a pessoa natural ou jurídica com insuficiência de recursos para pagar as custas, as despesas processuais e os honorários advocatícios tem direito à gratuidade da justiça. No caso dos autos, não há elementos que invalidem a presunção de hipossuficiência financeira. </w:t>
      </w:r>
      <w:r>
        <w:rPr>
          <w:rFonts w:ascii="Lora" w:cs="Lora" w:eastAsia="Lora" w:hAnsi="Lora"/>
          <w:b w:val="1"/>
          <w:bCs w:val="1"/>
          <w:sz w:val="18"/>
          <w:szCs w:val="18"/>
        </w:rPr>
        <w:t xml:space="preserve">Não se exige o estado de miséria absoluta para a concessão dos benefícios.</w:t>
      </w:r>
      <w:r>
        <w:rPr>
          <w:rFonts w:ascii="Lora Medium" w:cs="Lora Medium" w:eastAsia="Lora Medium" w:hAnsi="Lora Medium"/>
          <w:sz w:val="18"/>
          <w:szCs w:val="18"/>
        </w:rPr>
        <w:t xml:space="preserve"> Na análise de provas da situação financeira, até o momento disponível nos autos, constata-se que o autor está em situação superendividamento. </w:t>
      </w:r>
      <w:r>
        <w:rPr>
          <w:rFonts w:ascii="Lora" w:cs="Lora" w:eastAsia="Lora" w:hAnsi="Lora"/>
          <w:b w:val="1"/>
          <w:bCs w:val="1"/>
          <w:sz w:val="18"/>
          <w:szCs w:val="18"/>
        </w:rPr>
        <w:t xml:space="preserve">Dívidas que superam a remuneração percebida. Pedido de repactuação de dívidas que torna evidente a hipossuficiência do autor.</w:t>
      </w:r>
      <w:r>
        <w:rPr>
          <w:rFonts w:ascii="Lora Medium" w:cs="Lora Medium" w:eastAsia="Lora Medium" w:hAnsi="Lora Medium"/>
          <w:sz w:val="18"/>
          <w:szCs w:val="18"/>
        </w:rPr>
        <w:t xml:space="preserve"> Precedentes do Tribunal de Justiça de São Paulo. DECISÃO REFORMADA. AGRAVO PROVIDO.” (TJ-SP – AI: 2259685-51.2022.8.26.0000 – Relator: Alexandre David Malfatti – 12ª Câmara de Direito Privado – Data de Julgamento: 09/11/2022 – Data de Publicação: 09/11/2022) (grifo nosso)</w:t>
      </w:r>
    </w:p>
    <w:p>
      <w:pPr>
        <w:pBdr>
          <w:top w:color="9aa0a6" w:space="6" w:sz="4" w:val="single"/>
          <w:bottom w:color="9aa0a6" w:space="6" w:sz="4" w:val="single"/>
        </w:pBdr>
        <w:spacing w:after="200" w:before="160" w:line="240" w:lineRule="auto"/>
        <w:ind w:left="2270" w:right="570" w:firstLine="0"/>
        <w:jc w:val="both"/>
      </w:pPr>
      <w:r>
        <w:rPr>
          <w:rFonts w:ascii="Lora Medium" w:cs="Lora Medium" w:eastAsia="Lora Medium" w:hAnsi="Lora Medium"/>
          <w:sz w:val="18"/>
          <w:szCs w:val="18"/>
        </w:rPr>
        <w:t xml:space="preserve">“AGRAVO DE INSTRUMENTO. ‘AÇÃO REVISIONAL DE CONTRATOS DE EMPRÉSTIMO C/C OBRIGAÇÃO DE FAZER POR SUPERENDIVIDAMENTO C/C TUTELA DE URGÊNCIA’. GRATUIDADE DA JUSTIÇA. DECISÃO. INDEFERIMENTO. RECURSO DA AUTORA. ACOLHIMENTO. </w:t>
      </w:r>
      <w:r>
        <w:rPr>
          <w:rFonts w:ascii="Lora" w:cs="Lora" w:eastAsia="Lora" w:hAnsi="Lora"/>
          <w:b w:val="1"/>
          <w:bCs w:val="1"/>
          <w:sz w:val="18"/>
          <w:szCs w:val="18"/>
        </w:rPr>
        <w:t xml:space="preserve">ELEMENTOS CARREADOS AO PROCESSO QUE DEMONSTRAM A ALEGADA HIPOSSUFICIÊNCIA FINANCEIRA</w:t>
      </w:r>
      <w:r>
        <w:rPr>
          <w:rFonts w:ascii="Lora Medium" w:cs="Lora Medium" w:eastAsia="Lora Medium" w:hAnsi="Lora Medium"/>
          <w:sz w:val="18"/>
          <w:szCs w:val="18"/>
        </w:rPr>
        <w:t xml:space="preserve"> (CPC, ARTS. 98 E 99; CF/1988, ART. 5º, LXXIV). </w:t>
      </w:r>
      <w:r>
        <w:rPr>
          <w:rFonts w:ascii="Lora" w:cs="Lora" w:eastAsia="Lora" w:hAnsi="Lora"/>
          <w:b w:val="1"/>
          <w:bCs w:val="1"/>
          <w:sz w:val="18"/>
          <w:szCs w:val="18"/>
        </w:rPr>
        <w:t xml:space="preserve">EXISTÊNCIA DE DÍVIDAS QUE, NO CASO, COMPROMETEM A ALTA RENDA MENSAL AUFERIDA PELA AUTORA, GERANDO ATÉ MESMO DEFICIT.</w:t>
      </w:r>
      <w:r>
        <w:rPr>
          <w:rFonts w:ascii="Lora Medium" w:cs="Lora Medium" w:eastAsia="Lora Medium" w:hAnsi="Lora Medium"/>
          <w:sz w:val="18"/>
          <w:szCs w:val="18"/>
        </w:rPr>
        <w:t xml:space="preserve"> PRECEDENTES. APARENTE SITUAÇÃO DE SUPERENDIVIDAMENTO. BENEFÍCIO CONCEDIDO. DECISÃO REFORMADA. AGRAVO DE INSTRUMENTO CONHECIDO E PROVIDO.” (TJ-PR – AI: 0046282-46.2021.8.16.0000 – Tomazina – Relator: Des. João Antônio De Marchi – 14ª Câmara Cível – Data de Julgamento: 21/03/2022 – Data de Publicação: 21/03/2022) (grifo nosso)</w:t>
      </w:r>
    </w:p>
    <w:sectPr>
      <w:headerReference r:id="rId11" w:type="default"/>
      <w:footerReference r:id="rId12" w:type="default"/>
      <w:pgSz w:h="16838" w:w="11906" w:orient="portrait"/>
      <w:pgMar w:bottom="1500" w:top="2330" w:left="1134" w:right="1134" w:header="5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color="9aa0a6" w:space="4" w:sz="6" w:val="single"/>
      </w:pBdr>
      <w:spacing w:line="240" w:lineRule="auto"/>
      <w:jc w:val="center"/>
      <w:rPr/>
    </w:pPr>
    <w:r w:rsidDel="00000000" w:rsidR="00000000" w:rsidRPr="00000000">
      <w:rPr>
        <w:b w:val="1"/>
        <w:bCs w:val="1"/>
        <w:i w:val="1"/>
        <w:iCs w:val="1"/>
        <w:color w:val="123bb8"/>
        <w:sz w:val="16"/>
        <w:szCs w:val="16"/>
        <w:rtl w:val="0"/>
      </w:rPr>
      <w:t xml:space="preserve">Rua Rio Grande do Sul, 1641, bairro São Miguel, CEP: 64.130-000, Miguel Alves-PI - (86) 9 7400-9869 - paduanetojus@gmail.com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spacing w:after="0" w:lineRule="auto"/>
      <w:jc w:val="center"/>
      <w:rPr/>
    </w:pPr>
    <w:r w:rsidDel="00000000" w:rsidR="00000000" w:rsidRPr="00000000">
      <w:rPr/>
      <w:drawing>
        <wp:inline distB="0" distT="0" distL="0" distR="0">
          <wp:extent cx="1809750" cy="952500"/>
          <wp:effectExtent b="0" l="0" r="0" t="0"/>
          <wp:docPr id="10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pBdr>
        <w:bottom w:color="9aa0a6" w:space="1" w:sz="6" w:val="single"/>
      </w:pBd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kBs1nZ2c8AH8WR/Yzo6Z+Yvaw==">CgMxLjA4AHIhMVh0d19zTkZLY0l3T0NncUw1SmdFVmlCb2JMWW5Zd3py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2026-10-03T02:33:01.698Z</dcterms:created>
  <dc:creator>Antônio de Pádua Santos Neto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